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Heading1"/>
        <w:spacing w:before="216"/>
        <w:ind w:left="1259" w:right="734"/>
        <w:jc w:val="center"/>
      </w:pPr>
      <w:r>
        <w:rPr/>
        <w:t>ANGELINA COUNTY</w:t>
      </w:r>
      <w:r>
        <w:rPr>
          <w:spacing w:val="-69"/>
        </w:rPr>
        <w:t> </w:t>
      </w:r>
      <w:r>
        <w:rPr>
          <w:spacing w:val="4"/>
        </w:rPr>
        <w:t>EMPLOYEEBENEFITPLAN</w:t>
      </w:r>
    </w:p>
    <w:p>
      <w:pPr>
        <w:pStyle w:val="Heading2"/>
        <w:spacing w:line="247" w:lineRule="auto"/>
        <w:ind w:left="2663" w:right="2618"/>
        <w:jc w:val="center"/>
      </w:pPr>
      <w:r>
        <w:rPr>
          <w:w w:val="85"/>
        </w:rPr>
        <w:t>NETWORK SERVICES AGREEMENT </w:t>
      </w:r>
      <w:r>
        <w:rPr/>
        <w:t>GENERAL INFORMATION</w:t>
      </w:r>
    </w:p>
    <w:p>
      <w:pPr>
        <w:pStyle w:val="BodyText"/>
        <w:spacing w:before="3"/>
        <w:rPr>
          <w:b/>
          <w:sz w:val="26"/>
        </w:rPr>
      </w:pPr>
    </w:p>
    <w:p>
      <w:pPr>
        <w:spacing w:line="247" w:lineRule="auto" w:before="1"/>
        <w:ind w:left="2663" w:right="2618" w:firstLine="0"/>
        <w:jc w:val="center"/>
        <w:rPr>
          <w:b/>
          <w:sz w:val="36"/>
        </w:rPr>
      </w:pPr>
      <w:r>
        <w:rPr/>
        <w:drawing>
          <wp:anchor distT="0" distB="0" distL="0" distR="0" allowOverlap="1" layoutInCell="1" locked="0" behindDoc="1" simplePos="0" relativeHeight="251538432">
            <wp:simplePos x="0" y="0"/>
            <wp:positionH relativeFrom="page">
              <wp:posOffset>1020389</wp:posOffset>
            </wp:positionH>
            <wp:positionV relativeFrom="paragraph">
              <wp:posOffset>485345</wp:posOffset>
            </wp:positionV>
            <wp:extent cx="5662524" cy="5487634"/>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5662524" cy="5487634"/>
                    </a:xfrm>
                    <a:prstGeom prst="rect">
                      <a:avLst/>
                    </a:prstGeom>
                  </pic:spPr>
                </pic:pic>
              </a:graphicData>
            </a:graphic>
          </wp:anchor>
        </w:drawing>
      </w:r>
      <w:r>
        <w:rPr>
          <w:b/>
          <w:w w:val="85"/>
          <w:sz w:val="36"/>
        </w:rPr>
        <w:t>EFFECTIVE DATE AUGUST </w:t>
      </w:r>
      <w:r>
        <w:rPr>
          <w:b/>
          <w:w w:val="95"/>
          <w:sz w:val="36"/>
        </w:rPr>
        <w:t>1, 2000</w:t>
      </w:r>
    </w:p>
    <w:p>
      <w:pPr>
        <w:pStyle w:val="BodyText"/>
        <w:rPr>
          <w:b/>
          <w:sz w:val="20"/>
        </w:rPr>
      </w:pPr>
    </w:p>
    <w:p>
      <w:pPr>
        <w:pStyle w:val="BodyText"/>
        <w:spacing w:before="11"/>
        <w:rPr>
          <w:b/>
          <w:sz w:val="20"/>
        </w:rPr>
      </w:pPr>
    </w:p>
    <w:p>
      <w:pPr>
        <w:spacing w:after="0"/>
        <w:rPr>
          <w:sz w:val="20"/>
        </w:rPr>
        <w:sectPr>
          <w:type w:val="continuous"/>
          <w:pgSz w:w="12260" w:h="15840"/>
          <w:pgMar w:top="1500" w:bottom="0" w:left="1280" w:right="1720"/>
        </w:sectPr>
      </w:pPr>
    </w:p>
    <w:p>
      <w:pPr>
        <w:pStyle w:val="Heading1"/>
      </w:pPr>
      <w:r>
        <w:rPr/>
        <w:pict>
          <v:line style="position:absolute;mso-position-horizontal-relative:page;mso-position-vertical-relative:page;z-index:251659264" from="609.05011pt,732.850098pt" to="609.05011pt,792.000098pt" stroked="true" strokeweight=".361pt" strokecolor="#000000">
            <v:stroke dashstyle="solid"/>
            <w10:wrap type="none"/>
          </v:line>
        </w:pict>
      </w:r>
      <w:r>
        <w:rPr/>
        <w:t>DATED INFORMATION</w:t>
      </w:r>
    </w:p>
    <w:p>
      <w:pPr>
        <w:pStyle w:val="BodyText"/>
        <w:spacing w:line="480" w:lineRule="auto" w:before="95"/>
        <w:ind w:left="284" w:right="630" w:firstLine="7"/>
      </w:pPr>
      <w:r>
        <w:rPr/>
        <w:t>Name</w:t>
      </w:r>
      <w:r>
        <w:rPr>
          <w:spacing w:val="-42"/>
        </w:rPr>
        <w:t> </w:t>
      </w:r>
      <w:r>
        <w:rPr/>
        <w:t>of</w:t>
      </w:r>
      <w:r>
        <w:rPr>
          <w:spacing w:val="-42"/>
        </w:rPr>
        <w:t> </w:t>
      </w:r>
      <w:r>
        <w:rPr/>
        <w:t>Health</w:t>
      </w:r>
      <w:r>
        <w:rPr>
          <w:spacing w:val="-40"/>
        </w:rPr>
        <w:t> </w:t>
      </w:r>
      <w:r>
        <w:rPr/>
        <w:t>Care</w:t>
      </w:r>
      <w:r>
        <w:rPr>
          <w:spacing w:val="-42"/>
        </w:rPr>
        <w:t> </w:t>
      </w:r>
      <w:r>
        <w:rPr/>
        <w:t>Plan: Type</w:t>
      </w:r>
      <w:r>
        <w:rPr>
          <w:spacing w:val="-26"/>
        </w:rPr>
        <w:t> </w:t>
      </w:r>
      <w:r>
        <w:rPr/>
        <w:t>of</w:t>
      </w:r>
      <w:r>
        <w:rPr>
          <w:spacing w:val="-30"/>
        </w:rPr>
        <w:t> </w:t>
      </w:r>
      <w:r>
        <w:rPr/>
        <w:t>Health</w:t>
      </w:r>
      <w:r>
        <w:rPr>
          <w:spacing w:val="-27"/>
        </w:rPr>
        <w:t> </w:t>
      </w:r>
      <w:r>
        <w:rPr/>
        <w:t>Care</w:t>
      </w:r>
      <w:r>
        <w:rPr>
          <w:spacing w:val="-30"/>
        </w:rPr>
        <w:t> </w:t>
      </w:r>
      <w:r>
        <w:rPr/>
        <w:t>Plan:</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69"/>
        <w:ind w:left="272" w:right="17" w:firstLine="2"/>
      </w:pPr>
      <w:r>
        <w:rPr>
          <w:w w:val="95"/>
        </w:rPr>
        <w:t>Approximate Number of Covered </w:t>
      </w:r>
      <w:r>
        <w:rPr/>
        <w:t>Lives In the East Texas Area:</w:t>
      </w:r>
    </w:p>
    <w:p>
      <w:pPr>
        <w:pStyle w:val="BodyText"/>
      </w:pPr>
    </w:p>
    <w:p>
      <w:pPr>
        <w:pStyle w:val="BodyText"/>
        <w:spacing w:line="484" w:lineRule="auto"/>
        <w:ind w:left="255" w:right="1094" w:firstLine="7"/>
      </w:pPr>
      <w:r>
        <w:rPr/>
        <w:t>Payor/TPA: Employer: </w:t>
      </w:r>
      <w:r>
        <w:rPr>
          <w:w w:val="90"/>
        </w:rPr>
        <w:t>Reimbursement:</w:t>
      </w:r>
    </w:p>
    <w:p>
      <w:pPr>
        <w:pStyle w:val="BodyText"/>
        <w:spacing w:before="3"/>
      </w:pPr>
    </w:p>
    <w:p>
      <w:pPr>
        <w:pStyle w:val="BodyText"/>
        <w:ind w:left="248"/>
      </w:pPr>
      <w:r>
        <w:rPr/>
        <w:t>Clean Claim Special Provision:</w:t>
      </w:r>
    </w:p>
    <w:p>
      <w:pPr>
        <w:pStyle w:val="BodyText"/>
        <w:rPr>
          <w:sz w:val="26"/>
        </w:rPr>
      </w:pPr>
      <w:r>
        <w:rPr/>
        <w:br w:type="column"/>
      </w:r>
      <w:r>
        <w:rPr>
          <w:sz w:val="26"/>
        </w:rPr>
      </w:r>
    </w:p>
    <w:p>
      <w:pPr>
        <w:pStyle w:val="BodyText"/>
        <w:spacing w:before="2"/>
        <w:rPr>
          <w:sz w:val="25"/>
        </w:rPr>
      </w:pPr>
    </w:p>
    <w:p>
      <w:pPr>
        <w:pStyle w:val="BodyText"/>
        <w:ind w:left="119"/>
      </w:pPr>
      <w:r>
        <w:rPr/>
        <w:t>Angelina County Employee Benefit Plan</w:t>
      </w:r>
    </w:p>
    <w:p>
      <w:pPr>
        <w:pStyle w:val="BodyText"/>
      </w:pPr>
    </w:p>
    <w:p>
      <w:pPr>
        <w:pStyle w:val="BodyText"/>
        <w:ind w:left="119" w:right="339"/>
      </w:pPr>
      <w:r>
        <w:rPr/>
        <w:t>A direct contract between Angelina County and Physicians of East Texas, LLC (P.O.E.T.) in which both parties have agreed to work together to offer a PPO network of physicians to provide health care services, at predetermined rates.</w:t>
      </w:r>
    </w:p>
    <w:p>
      <w:pPr>
        <w:pStyle w:val="BodyText"/>
        <w:rPr>
          <w:sz w:val="26"/>
        </w:rPr>
      </w:pPr>
    </w:p>
    <w:p>
      <w:pPr>
        <w:pStyle w:val="BodyText"/>
        <w:rPr>
          <w:sz w:val="26"/>
        </w:rPr>
      </w:pPr>
    </w:p>
    <w:p>
      <w:pPr>
        <w:pStyle w:val="BodyText"/>
        <w:spacing w:before="233"/>
        <w:ind w:left="284"/>
      </w:pPr>
      <w:r>
        <w:rPr/>
        <w:t>600</w:t>
      </w:r>
    </w:p>
    <w:p>
      <w:pPr>
        <w:pStyle w:val="BodyText"/>
        <w:spacing w:before="7"/>
      </w:pPr>
    </w:p>
    <w:p>
      <w:pPr>
        <w:pStyle w:val="BodyText"/>
        <w:spacing w:line="470" w:lineRule="auto"/>
        <w:ind w:left="272"/>
      </w:pPr>
      <w:r>
        <w:rPr/>
        <w:t>Group</w:t>
      </w:r>
      <w:r>
        <w:rPr>
          <w:spacing w:val="-41"/>
        </w:rPr>
        <w:t> </w:t>
      </w:r>
      <w:r>
        <w:rPr/>
        <w:t>&amp;</w:t>
      </w:r>
      <w:r>
        <w:rPr>
          <w:spacing w:val="-49"/>
        </w:rPr>
        <w:t> </w:t>
      </w:r>
      <w:r>
        <w:rPr/>
        <w:t>Pension</w:t>
      </w:r>
      <w:r>
        <w:rPr>
          <w:spacing w:val="-39"/>
        </w:rPr>
        <w:t> </w:t>
      </w:r>
      <w:r>
        <w:rPr/>
        <w:t>Administrators,Inc. Angelina</w:t>
      </w:r>
      <w:r>
        <w:rPr>
          <w:spacing w:val="10"/>
        </w:rPr>
        <w:t> </w:t>
      </w:r>
      <w:r>
        <w:rPr/>
        <w:t>County</w:t>
      </w:r>
    </w:p>
    <w:p>
      <w:pPr>
        <w:pStyle w:val="BodyText"/>
        <w:spacing w:line="230" w:lineRule="auto" w:before="33"/>
        <w:ind w:left="270" w:right="339"/>
      </w:pPr>
      <w:r>
        <w:rPr/>
        <w:t>85%</w:t>
      </w:r>
      <w:r>
        <w:rPr>
          <w:spacing w:val="-41"/>
        </w:rPr>
        <w:t> </w:t>
      </w:r>
      <w:r>
        <w:rPr/>
        <w:t>of</w:t>
      </w:r>
      <w:r>
        <w:rPr>
          <w:spacing w:val="-41"/>
        </w:rPr>
        <w:t> </w:t>
      </w:r>
      <w:r>
        <w:rPr/>
        <w:t>physician's</w:t>
      </w:r>
      <w:r>
        <w:rPr>
          <w:spacing w:val="-38"/>
        </w:rPr>
        <w:t> </w:t>
      </w:r>
      <w:r>
        <w:rPr/>
        <w:t>usual</w:t>
      </w:r>
      <w:r>
        <w:rPr>
          <w:spacing w:val="-39"/>
        </w:rPr>
        <w:t> </w:t>
      </w:r>
      <w:r>
        <w:rPr/>
        <w:t>and</w:t>
      </w:r>
      <w:r>
        <w:rPr>
          <w:spacing w:val="-43"/>
        </w:rPr>
        <w:t> </w:t>
      </w:r>
      <w:r>
        <w:rPr/>
        <w:t>customary billed charges.</w:t>
      </w:r>
    </w:p>
    <w:p>
      <w:pPr>
        <w:pStyle w:val="BodyText"/>
        <w:spacing w:before="8"/>
        <w:rPr>
          <w:sz w:val="23"/>
        </w:rPr>
      </w:pPr>
    </w:p>
    <w:p>
      <w:pPr>
        <w:pStyle w:val="BodyText"/>
        <w:ind w:left="248" w:right="316" w:firstLine="24"/>
      </w:pPr>
      <w:r>
        <w:rPr/>
        <w:t>If your clean claim is not paid after 30 days of receipt by payor, the reimbursement should be made at 100% of physician's usual and customary charges. No discount will be applicable after 30 days. Also, if the payor fails to pay a clean claim within 45 days of submission, the physician may terminate his participation.</w:t>
      </w:r>
    </w:p>
    <w:p>
      <w:pPr>
        <w:spacing w:after="0"/>
        <w:sectPr>
          <w:type w:val="continuous"/>
          <w:pgSz w:w="12260" w:h="15840"/>
          <w:pgMar w:top="1500" w:bottom="0" w:left="1280" w:right="1720"/>
          <w:cols w:num="2" w:equalWidth="0">
            <w:col w:w="3644" w:space="709"/>
            <w:col w:w="4907"/>
          </w:cols>
        </w:sectPr>
      </w:pPr>
    </w:p>
    <w:p>
      <w:pPr>
        <w:pStyle w:val="BodyText"/>
        <w:tabs>
          <w:tab w:pos="4741" w:val="left" w:leader="none"/>
        </w:tabs>
        <w:spacing w:before="63"/>
        <w:ind w:left="4751" w:right="387" w:hanging="4359"/>
      </w:pPr>
      <w:r>
        <w:rPr/>
        <w:drawing>
          <wp:anchor distT="0" distB="0" distL="0" distR="0" allowOverlap="1" layoutInCell="1" locked="0" behindDoc="1" simplePos="0" relativeHeight="251540480">
            <wp:simplePos x="0" y="0"/>
            <wp:positionH relativeFrom="page">
              <wp:posOffset>925139</wp:posOffset>
            </wp:positionH>
            <wp:positionV relativeFrom="paragraph">
              <wp:posOffset>1652501</wp:posOffset>
            </wp:positionV>
            <wp:extent cx="5662524" cy="5487634"/>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5662524" cy="5487634"/>
                    </a:xfrm>
                    <a:prstGeom prst="rect">
                      <a:avLst/>
                    </a:prstGeom>
                  </pic:spPr>
                </pic:pic>
              </a:graphicData>
            </a:graphic>
          </wp:anchor>
        </w:drawing>
      </w:r>
      <w:r>
        <w:rPr/>
        <w:t>Program</w:t>
      </w:r>
      <w:r>
        <w:rPr>
          <w:spacing w:val="-40"/>
        </w:rPr>
        <w:t> </w:t>
      </w:r>
      <w:r>
        <w:rPr/>
        <w:t>Requirements:</w:t>
        <w:tab/>
      </w:r>
      <w:r>
        <w:rPr>
          <w:position w:val="1"/>
        </w:rPr>
        <w:t>This</w:t>
      </w:r>
      <w:r>
        <w:rPr>
          <w:spacing w:val="-46"/>
          <w:position w:val="1"/>
        </w:rPr>
        <w:t> </w:t>
      </w:r>
      <w:r>
        <w:rPr>
          <w:position w:val="1"/>
        </w:rPr>
        <w:t>is</w:t>
      </w:r>
      <w:r>
        <w:rPr>
          <w:spacing w:val="-45"/>
          <w:position w:val="1"/>
        </w:rPr>
        <w:t> </w:t>
      </w:r>
      <w:r>
        <w:rPr>
          <w:position w:val="1"/>
        </w:rPr>
        <w:t>a</w:t>
      </w:r>
      <w:r>
        <w:rPr>
          <w:spacing w:val="-44"/>
          <w:position w:val="1"/>
        </w:rPr>
        <w:t> </w:t>
      </w:r>
      <w:r>
        <w:rPr>
          <w:position w:val="1"/>
        </w:rPr>
        <w:t>Preferred</w:t>
      </w:r>
      <w:r>
        <w:rPr>
          <w:spacing w:val="-45"/>
          <w:position w:val="1"/>
        </w:rPr>
        <w:t> </w:t>
      </w:r>
      <w:r>
        <w:rPr>
          <w:position w:val="1"/>
        </w:rPr>
        <w:t>Provider</w:t>
      </w:r>
      <w:r>
        <w:rPr>
          <w:spacing w:val="-44"/>
          <w:position w:val="1"/>
        </w:rPr>
        <w:t> </w:t>
      </w:r>
      <w:r>
        <w:rPr>
          <w:position w:val="1"/>
        </w:rPr>
        <w:t>Organization </w:t>
      </w:r>
      <w:r>
        <w:rPr/>
        <w:t>Network (PPO). </w:t>
      </w:r>
      <w:r>
        <w:rPr>
          <w:b/>
        </w:rPr>
        <w:t>Referrals </w:t>
      </w:r>
      <w:r>
        <w:rPr/>
        <w:t>are </w:t>
      </w:r>
      <w:r>
        <w:rPr>
          <w:b/>
        </w:rPr>
        <w:t>not required</w:t>
      </w:r>
      <w:r>
        <w:rPr>
          <w:b/>
          <w:spacing w:val="-26"/>
        </w:rPr>
        <w:t> </w:t>
      </w:r>
      <w:r>
        <w:rPr/>
        <w:t>from</w:t>
      </w:r>
      <w:r>
        <w:rPr>
          <w:spacing w:val="-34"/>
        </w:rPr>
        <w:t> </w:t>
      </w:r>
      <w:r>
        <w:rPr/>
        <w:t>Primary</w:t>
      </w:r>
      <w:r>
        <w:rPr>
          <w:spacing w:val="-28"/>
        </w:rPr>
        <w:t> </w:t>
      </w:r>
      <w:r>
        <w:rPr/>
        <w:t>Care</w:t>
      </w:r>
      <w:r>
        <w:rPr>
          <w:spacing w:val="-33"/>
        </w:rPr>
        <w:t> </w:t>
      </w:r>
      <w:r>
        <w:rPr/>
        <w:t>Physicians to Specialty Physicians. However, any </w:t>
      </w:r>
      <w:r>
        <w:rPr>
          <w:b/>
        </w:rPr>
        <w:t>local </w:t>
      </w:r>
      <w:r>
        <w:rPr/>
        <w:t>referrals made to other providers should be made within the </w:t>
      </w:r>
      <w:r>
        <w:rPr>
          <w:b/>
        </w:rPr>
        <w:t>Physicians of East Texas, LLC </w:t>
      </w:r>
      <w:r>
        <w:rPr/>
        <w:t>Participating Network. For referrals to physicians </w:t>
      </w:r>
      <w:r>
        <w:rPr>
          <w:spacing w:val="2"/>
        </w:rPr>
        <w:t>outsidethePOETnetwork, </w:t>
      </w:r>
      <w:r>
        <w:rPr/>
        <w:t>pleaseutilize the PHCS Network as this is the in- network benefits for outside the Angelina County area. Please contact PHCS</w:t>
      </w:r>
      <w:r>
        <w:rPr>
          <w:spacing w:val="-35"/>
        </w:rPr>
        <w:t> </w:t>
      </w:r>
      <w:r>
        <w:rPr/>
        <w:t>at</w:t>
      </w:r>
      <w:r>
        <w:rPr>
          <w:spacing w:val="-34"/>
        </w:rPr>
        <w:t> </w:t>
      </w:r>
      <w:r>
        <w:rPr/>
        <w:t>1-888-611-7427</w:t>
      </w:r>
      <w:r>
        <w:rPr>
          <w:spacing w:val="-34"/>
        </w:rPr>
        <w:t> </w:t>
      </w:r>
      <w:r>
        <w:rPr/>
        <w:t>(PHCS)</w:t>
      </w:r>
      <w:r>
        <w:rPr>
          <w:spacing w:val="-23"/>
        </w:rPr>
        <w:t> </w:t>
      </w:r>
      <w:r>
        <w:rPr/>
        <w:t>for</w:t>
      </w:r>
    </w:p>
    <w:p>
      <w:pPr>
        <w:pStyle w:val="BodyText"/>
        <w:spacing w:line="244" w:lineRule="auto" w:before="15"/>
        <w:ind w:left="4760" w:right="417" w:firstLine="7"/>
      </w:pPr>
      <w:r>
        <w:rPr>
          <w:w w:val="95"/>
        </w:rPr>
        <w:t>names of participating PHCS physicians </w:t>
      </w:r>
      <w:r>
        <w:rPr/>
        <w:t>outside our Angelina County/POET Network of physicians.</w:t>
      </w:r>
    </w:p>
    <w:p>
      <w:pPr>
        <w:pStyle w:val="BodyText"/>
        <w:spacing w:before="2"/>
      </w:pPr>
    </w:p>
    <w:p>
      <w:pPr>
        <w:pStyle w:val="BodyText"/>
        <w:spacing w:line="242" w:lineRule="auto"/>
        <w:ind w:left="4768" w:right="56" w:hanging="8"/>
      </w:pPr>
      <w:r>
        <w:rPr/>
        <w:t>Identificationcards will have Physicians of East Texas, LLC (POET) clearly located on the I.D. card. PHCS will also be on the</w:t>
      </w:r>
    </w:p>
    <w:p>
      <w:pPr>
        <w:pStyle w:val="BodyText"/>
        <w:spacing w:line="242" w:lineRule="auto"/>
        <w:ind w:left="4767" w:right="169"/>
      </w:pPr>
      <w:r>
        <w:rPr/>
        <w:t>I.D. card, but this is for the member to access in-network benefits when necessary</w:t>
      </w:r>
      <w:r>
        <w:rPr>
          <w:spacing w:val="-10"/>
        </w:rPr>
        <w:t> </w:t>
      </w:r>
      <w:r>
        <w:rPr/>
        <w:t>to</w:t>
      </w:r>
      <w:r>
        <w:rPr>
          <w:spacing w:val="-8"/>
        </w:rPr>
        <w:t> </w:t>
      </w:r>
      <w:r>
        <w:rPr/>
        <w:t>go</w:t>
      </w:r>
      <w:r>
        <w:rPr>
          <w:spacing w:val="-7"/>
        </w:rPr>
        <w:t> </w:t>
      </w:r>
      <w:r>
        <w:rPr/>
        <w:t>out</w:t>
      </w:r>
      <w:r>
        <w:rPr>
          <w:spacing w:val="-10"/>
        </w:rPr>
        <w:t> </w:t>
      </w:r>
      <w:r>
        <w:rPr/>
        <w:t>of</w:t>
      </w:r>
      <w:r>
        <w:rPr>
          <w:spacing w:val="-7"/>
        </w:rPr>
        <w:t> </w:t>
      </w:r>
      <w:r>
        <w:rPr/>
        <w:t>our</w:t>
      </w:r>
      <w:r>
        <w:rPr>
          <w:spacing w:val="-9"/>
        </w:rPr>
        <w:t> </w:t>
      </w:r>
      <w:r>
        <w:rPr/>
        <w:t>local</w:t>
      </w:r>
      <w:r>
        <w:rPr>
          <w:spacing w:val="-9"/>
        </w:rPr>
        <w:t> </w:t>
      </w:r>
      <w:r>
        <w:rPr/>
        <w:t>Angelina County/POET network. Please disregard any PHCS information for administration of this plan for your practice, with the exception</w:t>
      </w:r>
      <w:r>
        <w:rPr>
          <w:spacing w:val="-4"/>
        </w:rPr>
        <w:t> </w:t>
      </w:r>
      <w:r>
        <w:rPr/>
        <w:t>of</w:t>
      </w:r>
      <w:r>
        <w:rPr>
          <w:spacing w:val="-6"/>
        </w:rPr>
        <w:t> </w:t>
      </w:r>
      <w:r>
        <w:rPr/>
        <w:t>making</w:t>
      </w:r>
      <w:r>
        <w:rPr>
          <w:spacing w:val="-5"/>
        </w:rPr>
        <w:t> </w:t>
      </w:r>
      <w:r>
        <w:rPr/>
        <w:t>referrals</w:t>
      </w:r>
      <w:r>
        <w:rPr>
          <w:spacing w:val="-26"/>
        </w:rPr>
        <w:t> </w:t>
      </w:r>
      <w:r>
        <w:rPr/>
        <w:t>through</w:t>
      </w:r>
      <w:r>
        <w:rPr>
          <w:spacing w:val="-21"/>
        </w:rPr>
        <w:t> </w:t>
      </w:r>
      <w:r>
        <w:rPr/>
        <w:t>the PHCS network. </w:t>
      </w:r>
      <w:r>
        <w:rPr>
          <w:b/>
        </w:rPr>
        <w:t>Be sure to photocopy both sides of the card </w:t>
      </w:r>
      <w:r>
        <w:rPr/>
        <w:t>for the patient's file. Remember that possession of a card does not guarantee that coverage is in force at the time of services. </w:t>
      </w:r>
      <w:r>
        <w:rPr>
          <w:b/>
        </w:rPr>
        <w:t>Always verify eligibility at the time of service </w:t>
      </w:r>
      <w:r>
        <w:rPr/>
        <w:t>with the appropriate carrier or claims administrator. Telephone numbers to verify eligibility and to pre- certify services can be found on the Member's</w:t>
      </w:r>
    </w:p>
    <w:p>
      <w:pPr>
        <w:pStyle w:val="BodyText"/>
        <w:spacing w:line="256" w:lineRule="exact"/>
        <w:ind w:left="4782"/>
      </w:pPr>
      <w:r>
        <w:rPr/>
        <w:t>I.D. card.</w:t>
      </w:r>
    </w:p>
    <w:p>
      <w:pPr>
        <w:pStyle w:val="BodyText"/>
        <w:spacing w:before="11"/>
        <w:rPr>
          <w:sz w:val="23"/>
        </w:rPr>
      </w:pPr>
    </w:p>
    <w:p>
      <w:pPr>
        <w:pStyle w:val="BodyText"/>
        <w:ind w:left="4804" w:right="417" w:hanging="12"/>
      </w:pPr>
      <w:r>
        <w:rPr/>
        <w:t>Collect only the co-payment, co- </w:t>
      </w:r>
      <w:r>
        <w:rPr>
          <w:w w:val="95"/>
        </w:rPr>
        <w:t>insurance, and deductible amounts</w:t>
      </w:r>
    </w:p>
    <w:p>
      <w:pPr>
        <w:spacing w:after="0"/>
        <w:sectPr>
          <w:pgSz w:w="12260" w:h="15840"/>
          <w:pgMar w:top="1420" w:bottom="280" w:left="1280" w:right="1720"/>
        </w:sectPr>
      </w:pPr>
    </w:p>
    <w:p>
      <w:pPr>
        <w:spacing w:line="237" w:lineRule="auto" w:before="79"/>
        <w:ind w:left="4746" w:right="118" w:hanging="10"/>
        <w:jc w:val="left"/>
        <w:rPr>
          <w:i/>
          <w:sz w:val="24"/>
        </w:rPr>
      </w:pPr>
      <w:r>
        <w:rPr>
          <w:sz w:val="24"/>
        </w:rPr>
        <w:t>indicated on the identification card. You may collect these amounts after payment is received or you may estimate and collect before payment is received, then refund the excess amounts owed to the patient. </w:t>
      </w:r>
      <w:r>
        <w:rPr>
          <w:i/>
          <w:sz w:val="24"/>
          <w:u w:val="single"/>
        </w:rPr>
        <w:t>YOU should NOT bill the patient</w:t>
      </w:r>
      <w:r>
        <w:rPr>
          <w:i/>
          <w:sz w:val="24"/>
        </w:rPr>
        <w:t> </w:t>
      </w:r>
      <w:r>
        <w:rPr>
          <w:i/>
          <w:sz w:val="24"/>
          <w:u w:val="single"/>
        </w:rPr>
        <w:t>for any amounts for covered services in</w:t>
      </w:r>
      <w:r>
        <w:rPr>
          <w:i/>
          <w:sz w:val="24"/>
        </w:rPr>
        <w:t> </w:t>
      </w:r>
      <w:r>
        <w:rPr>
          <w:i/>
          <w:sz w:val="24"/>
          <w:u w:val="single"/>
        </w:rPr>
        <w:t>excess of the negotiated fee schedule.</w:t>
      </w:r>
    </w:p>
    <w:p>
      <w:pPr>
        <w:pStyle w:val="BodyText"/>
        <w:spacing w:before="2"/>
        <w:rPr>
          <w:i/>
          <w:sz w:val="18"/>
        </w:rPr>
      </w:pPr>
    </w:p>
    <w:p>
      <w:pPr>
        <w:pStyle w:val="BodyText"/>
        <w:spacing w:before="92"/>
        <w:ind w:left="4751" w:right="417" w:hanging="10"/>
      </w:pPr>
      <w:r>
        <w:rPr/>
        <w:drawing>
          <wp:anchor distT="0" distB="0" distL="0" distR="0" allowOverlap="1" layoutInCell="1" locked="0" behindDoc="1" simplePos="0" relativeHeight="251541504">
            <wp:simplePos x="0" y="0"/>
            <wp:positionH relativeFrom="page">
              <wp:posOffset>925139</wp:posOffset>
            </wp:positionH>
            <wp:positionV relativeFrom="paragraph">
              <wp:posOffset>107038</wp:posOffset>
            </wp:positionV>
            <wp:extent cx="5662524" cy="5487634"/>
            <wp:effectExtent l="0" t="0" r="0" b="0"/>
            <wp:wrapNone/>
            <wp:docPr id="5" name="image2.png"/>
            <wp:cNvGraphicFramePr>
              <a:graphicFrameLocks noChangeAspect="1"/>
            </wp:cNvGraphicFramePr>
            <a:graphic>
              <a:graphicData uri="http://schemas.openxmlformats.org/drawingml/2006/picture">
                <pic:pic>
                  <pic:nvPicPr>
                    <pic:cNvPr id="6" name="image2.png"/>
                    <pic:cNvPicPr/>
                  </pic:nvPicPr>
                  <pic:blipFill>
                    <a:blip r:embed="rId6" cstate="print"/>
                    <a:stretch>
                      <a:fillRect/>
                    </a:stretch>
                  </pic:blipFill>
                  <pic:spPr>
                    <a:xfrm>
                      <a:off x="0" y="0"/>
                      <a:ext cx="5662524" cy="5487634"/>
                    </a:xfrm>
                    <a:prstGeom prst="rect">
                      <a:avLst/>
                    </a:prstGeom>
                  </pic:spPr>
                </pic:pic>
              </a:graphicData>
            </a:graphic>
          </wp:anchor>
        </w:drawing>
      </w:r>
      <w:r>
        <w:rPr/>
        <w:t>Diagnostic</w:t>
      </w:r>
      <w:r>
        <w:rPr>
          <w:spacing w:val="-35"/>
        </w:rPr>
        <w:t> </w:t>
      </w:r>
      <w:r>
        <w:rPr/>
        <w:t>services</w:t>
      </w:r>
      <w:r>
        <w:rPr>
          <w:spacing w:val="-41"/>
        </w:rPr>
        <w:t> </w:t>
      </w:r>
      <w:r>
        <w:rPr/>
        <w:t>may</w:t>
      </w:r>
      <w:r>
        <w:rPr>
          <w:spacing w:val="-41"/>
        </w:rPr>
        <w:t> </w:t>
      </w:r>
      <w:r>
        <w:rPr/>
        <w:t>be</w:t>
      </w:r>
      <w:r>
        <w:rPr>
          <w:spacing w:val="-43"/>
        </w:rPr>
        <w:t> </w:t>
      </w:r>
      <w:r>
        <w:rPr/>
        <w:t>provided</w:t>
      </w:r>
      <w:r>
        <w:rPr>
          <w:spacing w:val="-44"/>
        </w:rPr>
        <w:t> </w:t>
      </w:r>
      <w:r>
        <w:rPr/>
        <w:t>in the office setting and are reimbursed fee for service. If you do not provide these services in your office, please utilize </w:t>
      </w:r>
      <w:r>
        <w:rPr>
          <w:b/>
        </w:rPr>
        <w:t>participating </w:t>
      </w:r>
      <w:r>
        <w:rPr/>
        <w:t>providers for all radiology and laboratory</w:t>
      </w:r>
      <w:r>
        <w:rPr>
          <w:spacing w:val="-26"/>
        </w:rPr>
        <w:t> </w:t>
      </w:r>
      <w:r>
        <w:rPr/>
        <w:t>services.</w:t>
      </w:r>
    </w:p>
    <w:p>
      <w:pPr>
        <w:pStyle w:val="BodyText"/>
        <w:rPr>
          <w:sz w:val="16"/>
        </w:rPr>
      </w:pPr>
    </w:p>
    <w:p>
      <w:pPr>
        <w:spacing w:after="0"/>
        <w:rPr>
          <w:sz w:val="16"/>
        </w:rPr>
        <w:sectPr>
          <w:pgSz w:w="12260" w:h="15840"/>
          <w:pgMar w:top="1380" w:bottom="280" w:left="1280" w:right="1720"/>
        </w:sectPr>
      </w:pPr>
    </w:p>
    <w:p>
      <w:pPr>
        <w:pStyle w:val="BodyText"/>
        <w:spacing w:before="95"/>
        <w:ind w:left="388"/>
      </w:pPr>
      <w:r>
        <w:rPr/>
        <w:t>Local Contracted Hospitals:</w:t>
      </w:r>
    </w:p>
    <w:p>
      <w:pPr>
        <w:pStyle w:val="BodyText"/>
        <w:rPr>
          <w:sz w:val="26"/>
        </w:rPr>
      </w:pPr>
    </w:p>
    <w:p>
      <w:pPr>
        <w:pStyle w:val="BodyText"/>
        <w:rPr>
          <w:sz w:val="26"/>
        </w:rPr>
      </w:pPr>
    </w:p>
    <w:p>
      <w:pPr>
        <w:pStyle w:val="BodyText"/>
        <w:spacing w:before="177"/>
        <w:ind w:left="395"/>
      </w:pPr>
      <w:r>
        <w:rPr>
          <w:w w:val="95"/>
        </w:rPr>
        <w:t>Local Contracted Laboratories:</w:t>
      </w:r>
    </w:p>
    <w:p>
      <w:pPr>
        <w:pStyle w:val="BodyText"/>
        <w:rPr>
          <w:sz w:val="26"/>
        </w:rPr>
      </w:pPr>
    </w:p>
    <w:p>
      <w:pPr>
        <w:pStyle w:val="BodyText"/>
        <w:rPr>
          <w:sz w:val="26"/>
        </w:rPr>
      </w:pPr>
    </w:p>
    <w:p>
      <w:pPr>
        <w:pStyle w:val="BodyText"/>
        <w:spacing w:before="175"/>
        <w:ind w:left="385"/>
      </w:pPr>
      <w:r>
        <w:rPr/>
        <w:t>Claims Filing Address:</w:t>
      </w:r>
    </w:p>
    <w:p>
      <w:pPr>
        <w:pStyle w:val="BodyText"/>
        <w:rPr>
          <w:sz w:val="26"/>
        </w:rPr>
      </w:pPr>
    </w:p>
    <w:p>
      <w:pPr>
        <w:pStyle w:val="BodyText"/>
        <w:rPr>
          <w:sz w:val="26"/>
        </w:rPr>
      </w:pPr>
    </w:p>
    <w:p>
      <w:pPr>
        <w:pStyle w:val="BodyText"/>
        <w:spacing w:before="177"/>
        <w:ind w:left="395"/>
      </w:pPr>
      <w:r>
        <w:rPr/>
        <w:t>Claims Filing Deadline:</w:t>
      </w:r>
    </w:p>
    <w:p>
      <w:pPr>
        <w:pStyle w:val="BodyText"/>
        <w:rPr>
          <w:sz w:val="26"/>
        </w:rPr>
      </w:pPr>
    </w:p>
    <w:p>
      <w:pPr>
        <w:pStyle w:val="BodyText"/>
        <w:rPr>
          <w:sz w:val="23"/>
        </w:rPr>
      </w:pPr>
    </w:p>
    <w:p>
      <w:pPr>
        <w:pStyle w:val="BodyText"/>
        <w:spacing w:line="247" w:lineRule="auto" w:before="1"/>
        <w:ind w:left="392" w:right="656"/>
      </w:pPr>
      <w:r>
        <w:rPr/>
        <w:t>GPA Customer Service </w:t>
      </w:r>
      <w:r>
        <w:rPr>
          <w:w w:val="95"/>
        </w:rPr>
        <w:t>Eligibility/Claims Status:</w:t>
      </w:r>
    </w:p>
    <w:p>
      <w:pPr>
        <w:pStyle w:val="BodyText"/>
        <w:spacing w:before="7"/>
      </w:pPr>
    </w:p>
    <w:p>
      <w:pPr>
        <w:pStyle w:val="BodyText"/>
        <w:ind w:left="402"/>
      </w:pPr>
      <w:r>
        <w:rPr/>
        <w:t>Pre-Certification:</w:t>
      </w:r>
    </w:p>
    <w:p>
      <w:pPr>
        <w:pStyle w:val="Heading2"/>
        <w:spacing w:line="235" w:lineRule="auto" w:before="97"/>
        <w:ind w:firstLine="2"/>
      </w:pPr>
      <w:r>
        <w:rPr>
          <w:b w:val="0"/>
        </w:rPr>
        <w:br w:type="column"/>
      </w:r>
      <w:r>
        <w:rPr/>
        <w:t>Woodland Heights Medical Center Memorial Health Systems</w:t>
      </w:r>
    </w:p>
    <w:p>
      <w:pPr>
        <w:pStyle w:val="BodyText"/>
        <w:rPr>
          <w:b/>
          <w:sz w:val="26"/>
        </w:rPr>
      </w:pPr>
    </w:p>
    <w:p>
      <w:pPr>
        <w:pStyle w:val="BodyText"/>
        <w:spacing w:before="1"/>
        <w:rPr>
          <w:b/>
          <w:sz w:val="22"/>
        </w:rPr>
      </w:pPr>
    </w:p>
    <w:p>
      <w:pPr>
        <w:pStyle w:val="BodyText"/>
        <w:spacing w:before="1"/>
        <w:ind w:left="392" w:right="574" w:firstLine="2"/>
      </w:pPr>
      <w:r>
        <w:rPr/>
        <w:t>Lab testing may be done </w:t>
      </w:r>
      <w:r>
        <w:rPr>
          <w:b/>
        </w:rPr>
        <w:t>in-office </w:t>
      </w:r>
      <w:r>
        <w:rPr/>
        <w:t>or sent to any local laboratory in Lufkin.</w:t>
      </w:r>
    </w:p>
    <w:p>
      <w:pPr>
        <w:pStyle w:val="BodyText"/>
        <w:rPr>
          <w:sz w:val="26"/>
        </w:rPr>
      </w:pPr>
    </w:p>
    <w:p>
      <w:pPr>
        <w:pStyle w:val="BodyText"/>
        <w:spacing w:before="8"/>
        <w:rPr>
          <w:sz w:val="21"/>
        </w:rPr>
      </w:pPr>
    </w:p>
    <w:p>
      <w:pPr>
        <w:pStyle w:val="BodyText"/>
        <w:spacing w:line="230" w:lineRule="auto"/>
        <w:ind w:left="395" w:right="610" w:hanging="10"/>
      </w:pPr>
      <w:r>
        <w:rPr/>
        <w:t>Group &amp; Pension Administrators,Inc. P. 0. Box 830248</w:t>
      </w:r>
    </w:p>
    <w:p>
      <w:pPr>
        <w:pStyle w:val="BodyText"/>
        <w:spacing w:line="272" w:lineRule="exact"/>
        <w:ind w:left="395"/>
      </w:pPr>
      <w:r>
        <w:rPr/>
        <w:t>Richardson, Texas</w:t>
      </w:r>
      <w:r>
        <w:rPr>
          <w:spacing w:val="51"/>
        </w:rPr>
        <w:t> </w:t>
      </w:r>
      <w:r>
        <w:rPr/>
        <w:t>75083-0248</w:t>
      </w:r>
    </w:p>
    <w:p>
      <w:pPr>
        <w:pStyle w:val="BodyText"/>
        <w:spacing w:before="5"/>
      </w:pPr>
    </w:p>
    <w:p>
      <w:pPr>
        <w:pStyle w:val="BodyText"/>
        <w:ind w:left="397"/>
      </w:pPr>
      <w:r>
        <w:rPr/>
        <w:t>12 Months</w:t>
      </w:r>
    </w:p>
    <w:p>
      <w:pPr>
        <w:pStyle w:val="BodyText"/>
        <w:rPr>
          <w:sz w:val="26"/>
        </w:rPr>
      </w:pPr>
    </w:p>
    <w:p>
      <w:pPr>
        <w:pStyle w:val="BodyText"/>
        <w:rPr>
          <w:sz w:val="26"/>
        </w:rPr>
      </w:pPr>
    </w:p>
    <w:p>
      <w:pPr>
        <w:pStyle w:val="BodyText"/>
        <w:spacing w:before="175"/>
        <w:ind w:left="404"/>
      </w:pPr>
      <w:bookmarkStart w:name="1-800-827-7223" w:id="1"/>
      <w:bookmarkEnd w:id="1"/>
      <w:r>
        <w:rPr/>
      </w:r>
      <w:r>
        <w:rPr>
          <w:w w:val="105"/>
        </w:rPr>
        <w:t>1-800-827-7223</w:t>
      </w:r>
    </w:p>
    <w:p>
      <w:pPr>
        <w:pStyle w:val="BodyText"/>
        <w:rPr>
          <w:sz w:val="25"/>
        </w:rPr>
      </w:pPr>
    </w:p>
    <w:p>
      <w:pPr>
        <w:pStyle w:val="BodyText"/>
        <w:spacing w:line="249" w:lineRule="auto"/>
        <w:ind w:left="412" w:right="876" w:hanging="10"/>
      </w:pPr>
      <w:r>
        <w:rPr/>
        <w:t>Medical Information Service (MIS)</w:t>
      </w:r>
      <w:bookmarkStart w:name="1-800-749-6171" w:id="2"/>
      <w:bookmarkEnd w:id="2"/>
      <w:r>
        <w:rPr/>
      </w:r>
      <w:r>
        <w:rPr/>
        <w:t> 1-800-749-6171</w:t>
      </w:r>
    </w:p>
    <w:sectPr>
      <w:type w:val="continuous"/>
      <w:pgSz w:w="12260" w:h="15840"/>
      <w:pgMar w:top="1500" w:bottom="0" w:left="1280" w:right="1720"/>
      <w:cols w:num="2" w:equalWidth="0">
        <w:col w:w="3549" w:space="814"/>
        <w:col w:w="4897"/>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4"/>
      <w:szCs w:val="24"/>
      <w:lang w:val="en-us" w:eastAsia="en-us" w:bidi="en-us"/>
    </w:rPr>
  </w:style>
  <w:style w:styleId="Heading1" w:type="paragraph">
    <w:name w:val="Heading 1"/>
    <w:basedOn w:val="Normal"/>
    <w:uiPriority w:val="1"/>
    <w:qFormat/>
    <w:pPr>
      <w:spacing w:before="89"/>
      <w:ind w:left="119"/>
      <w:outlineLvl w:val="1"/>
    </w:pPr>
    <w:rPr>
      <w:rFonts w:ascii="Arial" w:hAnsi="Arial" w:eastAsia="Arial" w:cs="Arial"/>
      <w:b/>
      <w:bCs/>
      <w:sz w:val="32"/>
      <w:szCs w:val="32"/>
      <w:lang w:val="en-us" w:eastAsia="en-us" w:bidi="en-us"/>
    </w:rPr>
  </w:style>
  <w:style w:styleId="Heading2" w:type="paragraph">
    <w:name w:val="Heading 2"/>
    <w:basedOn w:val="Normal"/>
    <w:uiPriority w:val="1"/>
    <w:qFormat/>
    <w:pPr>
      <w:spacing w:before="17"/>
      <w:ind w:left="395" w:right="599"/>
      <w:outlineLvl w:val="2"/>
    </w:pPr>
    <w:rPr>
      <w:rFonts w:ascii="Arial" w:hAnsi="Arial" w:eastAsia="Arial" w:cs="Arial"/>
      <w:b/>
      <w:bCs/>
      <w:sz w:val="24"/>
      <w:szCs w:val="24"/>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Sandifer</dc:creator>
  <dcterms:created xsi:type="dcterms:W3CDTF">2019-10-29T23:52:39Z</dcterms:created>
  <dcterms:modified xsi:type="dcterms:W3CDTF">2019-10-29T23:52:39Z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Acrobat PDFMaker 11 for Word</vt:lpwstr>
  </property>
  <property fmtid="{D5CDD505-2E9C-101B-9397-08002B2CF9AE}" pid="4" name="LastSaved">
    <vt:filetime>2019-10-29T00:00:00Z</vt:filetime>
  </property>
</Properties>
</file>