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19"/>
        <w:ind w:left="2420" w:right="2406" w:firstLine="597"/>
      </w:pPr>
      <w:r>
        <w:rPr>
          <w:u w:val="single"/>
        </w:rPr>
        <w:t>CONFIDENTIAL INFORMATION</w:t>
      </w:r>
      <w:r>
        <w:rPr/>
        <w:t> </w:t>
      </w:r>
      <w:r>
        <w:rPr>
          <w:u w:val="single"/>
        </w:rPr>
        <w:t>BCBSTX – BLUE ESSENTIALS AGREEMENT</w:t>
      </w:r>
    </w:p>
    <w:p>
      <w:pPr>
        <w:spacing w:line="341" w:lineRule="exact" w:before="1"/>
        <w:ind w:left="1589" w:right="1589" w:firstLine="0"/>
        <w:jc w:val="center"/>
        <w:rPr>
          <w:b/>
          <w:sz w:val="28"/>
        </w:rPr>
      </w:pPr>
      <w:r>
        <w:rPr>
          <w:b/>
          <w:sz w:val="28"/>
          <w:u w:val="single"/>
        </w:rPr>
        <w:t>for ERS (Employees Retirement System of Texas) ONLY</w:t>
      </w:r>
    </w:p>
    <w:p>
      <w:pPr>
        <w:pStyle w:val="Heading2"/>
        <w:spacing w:line="341" w:lineRule="exact"/>
        <w:ind w:left="1588" w:right="1589" w:firstLine="0"/>
        <w:jc w:val="center"/>
      </w:pPr>
      <w:r>
        <w:rPr/>
        <w:t>September 2017</w:t>
      </w:r>
    </w:p>
    <w:p>
      <w:pPr>
        <w:pStyle w:val="BodyText"/>
        <w:rPr>
          <w:sz w:val="28"/>
        </w:rPr>
      </w:pPr>
    </w:p>
    <w:p>
      <w:pPr>
        <w:pStyle w:val="ListParagraph"/>
        <w:numPr>
          <w:ilvl w:val="0"/>
          <w:numId w:val="1"/>
        </w:numPr>
        <w:tabs>
          <w:tab w:pos="819" w:val="left" w:leader="none"/>
          <w:tab w:pos="820" w:val="left" w:leader="none"/>
        </w:tabs>
        <w:spacing w:line="240" w:lineRule="auto" w:before="0" w:after="0"/>
        <w:ind w:left="819" w:right="0" w:hanging="720"/>
        <w:jc w:val="left"/>
        <w:rPr>
          <w:b/>
          <w:sz w:val="28"/>
        </w:rPr>
      </w:pPr>
      <w:r>
        <w:rPr>
          <w:b/>
          <w:sz w:val="28"/>
        </w:rPr>
        <w:t>BRIEF DESCRIPTION OF THE PLAN – </w:t>
      </w:r>
      <w:r>
        <w:rPr>
          <w:b/>
          <w:sz w:val="28"/>
          <w:u w:val="single"/>
        </w:rPr>
        <w:t>ERS</w:t>
      </w:r>
      <w:r>
        <w:rPr>
          <w:b/>
          <w:spacing w:val="-14"/>
          <w:sz w:val="28"/>
          <w:u w:val="single"/>
        </w:rPr>
        <w:t> </w:t>
      </w:r>
      <w:r>
        <w:rPr>
          <w:b/>
          <w:sz w:val="28"/>
          <w:u w:val="single"/>
        </w:rPr>
        <w:t>ONLY</w:t>
      </w:r>
    </w:p>
    <w:p>
      <w:pPr>
        <w:pStyle w:val="BodyText"/>
        <w:spacing w:before="10"/>
        <w:rPr>
          <w:b/>
          <w:sz w:val="23"/>
        </w:rPr>
      </w:pPr>
    </w:p>
    <w:p>
      <w:pPr>
        <w:pStyle w:val="BodyText"/>
        <w:spacing w:before="51"/>
        <w:ind w:left="820" w:right="103"/>
      </w:pPr>
      <w:r>
        <w:rPr/>
        <w:drawing>
          <wp:anchor distT="0" distB="0" distL="0" distR="0" allowOverlap="1" layoutInCell="1" locked="0" behindDoc="1" simplePos="0" relativeHeight="251326464">
            <wp:simplePos x="0" y="0"/>
            <wp:positionH relativeFrom="page">
              <wp:posOffset>1085767</wp:posOffset>
            </wp:positionH>
            <wp:positionV relativeFrom="paragraph">
              <wp:posOffset>6831</wp:posOffset>
            </wp:positionV>
            <wp:extent cx="5457811" cy="5248700"/>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5457811" cy="5248700"/>
                    </a:xfrm>
                    <a:prstGeom prst="rect">
                      <a:avLst/>
                    </a:prstGeom>
                  </pic:spPr>
                </pic:pic>
              </a:graphicData>
            </a:graphic>
          </wp:anchor>
        </w:drawing>
      </w:r>
      <w:r>
        <w:rPr/>
        <w:t>This is </w:t>
      </w:r>
      <w:r>
        <w:rPr>
          <w:b/>
        </w:rPr>
        <w:t>ONLY </w:t>
      </w:r>
      <w:r>
        <w:rPr/>
        <w:t>for ERS (Employee Retirement System of Texas for active state employees – other that public school employees). Those eligible for covered services under HealthSelect of Texas, Consumer Directed HealthSelect or any other product(s) offered under the Texas Employee Group Benefits.</w:t>
      </w:r>
    </w:p>
    <w:p>
      <w:pPr>
        <w:pStyle w:val="BodyText"/>
        <w:spacing w:before="1"/>
        <w:rPr>
          <w:sz w:val="28"/>
        </w:rPr>
      </w:pPr>
    </w:p>
    <w:p>
      <w:pPr>
        <w:pStyle w:val="Heading1"/>
        <w:spacing w:line="341" w:lineRule="exact"/>
        <w:ind w:left="1589" w:right="868" w:firstLine="0"/>
        <w:jc w:val="center"/>
      </w:pPr>
      <w:r>
        <w:rPr>
          <w:u w:val="single"/>
        </w:rPr>
        <w:t>IN AREA</w:t>
      </w:r>
    </w:p>
    <w:p>
      <w:pPr>
        <w:pStyle w:val="ListParagraph"/>
        <w:numPr>
          <w:ilvl w:val="1"/>
          <w:numId w:val="1"/>
        </w:numPr>
        <w:tabs>
          <w:tab w:pos="1180" w:val="left" w:leader="none"/>
        </w:tabs>
        <w:spacing w:line="240" w:lineRule="auto" w:before="0" w:after="0"/>
        <w:ind w:left="1180" w:right="221" w:hanging="360"/>
        <w:jc w:val="left"/>
        <w:rPr>
          <w:sz w:val="28"/>
        </w:rPr>
      </w:pPr>
      <w:r>
        <w:rPr>
          <w:b/>
          <w:sz w:val="28"/>
        </w:rPr>
        <w:t>HealthSelect of Texas </w:t>
      </w:r>
      <w:r>
        <w:rPr>
          <w:sz w:val="24"/>
        </w:rPr>
        <w:t>In-Area Blue Essentials is an HMO product with selection of PCP required. Referrals are required for services to be covered at the in-network benefit level. Member has out of network</w:t>
      </w:r>
      <w:r>
        <w:rPr>
          <w:spacing w:val="-9"/>
          <w:sz w:val="24"/>
        </w:rPr>
        <w:t> </w:t>
      </w:r>
      <w:r>
        <w:rPr>
          <w:sz w:val="24"/>
        </w:rPr>
        <w:t>benefits.</w:t>
      </w:r>
    </w:p>
    <w:p>
      <w:pPr>
        <w:pStyle w:val="BodyText"/>
        <w:rPr>
          <w:sz w:val="28"/>
        </w:rPr>
      </w:pPr>
    </w:p>
    <w:p>
      <w:pPr>
        <w:pStyle w:val="ListParagraph"/>
        <w:numPr>
          <w:ilvl w:val="1"/>
          <w:numId w:val="1"/>
        </w:numPr>
        <w:tabs>
          <w:tab w:pos="1180" w:val="left" w:leader="none"/>
        </w:tabs>
        <w:spacing w:line="240" w:lineRule="auto" w:before="0" w:after="0"/>
        <w:ind w:left="1180" w:right="295" w:hanging="360"/>
        <w:jc w:val="left"/>
        <w:rPr>
          <w:sz w:val="24"/>
        </w:rPr>
      </w:pPr>
      <w:r>
        <w:rPr>
          <w:b/>
          <w:sz w:val="28"/>
        </w:rPr>
        <w:t>Consumer Directed HealthSelect In-Area </w:t>
      </w:r>
      <w:r>
        <w:rPr>
          <w:sz w:val="24"/>
        </w:rPr>
        <w:t>Blue Essentials may be referred to as HMO+. This plan does not require PCP selection and does not require referrals. In network providers for highest level of benefits. Member has out of network benefits.</w:t>
      </w:r>
    </w:p>
    <w:p>
      <w:pPr>
        <w:pStyle w:val="BodyText"/>
        <w:rPr>
          <w:sz w:val="28"/>
        </w:rPr>
      </w:pPr>
    </w:p>
    <w:p>
      <w:pPr>
        <w:pStyle w:val="Heading1"/>
        <w:spacing w:line="341" w:lineRule="exact"/>
        <w:ind w:left="1589" w:right="507" w:firstLine="0"/>
        <w:jc w:val="center"/>
      </w:pPr>
      <w:r>
        <w:rPr>
          <w:u w:val="single"/>
        </w:rPr>
        <w:t>OUT OF STATE</w:t>
      </w:r>
    </w:p>
    <w:p>
      <w:pPr>
        <w:pStyle w:val="ListParagraph"/>
        <w:numPr>
          <w:ilvl w:val="1"/>
          <w:numId w:val="1"/>
        </w:numPr>
        <w:tabs>
          <w:tab w:pos="1180" w:val="left" w:leader="none"/>
        </w:tabs>
        <w:spacing w:line="240" w:lineRule="auto" w:before="0" w:after="0"/>
        <w:ind w:left="1180" w:right="748" w:hanging="360"/>
        <w:jc w:val="left"/>
        <w:rPr>
          <w:sz w:val="24"/>
        </w:rPr>
      </w:pPr>
      <w:r>
        <w:rPr>
          <w:b/>
          <w:sz w:val="28"/>
        </w:rPr>
        <w:t>Coverage for out of state members</w:t>
      </w:r>
      <w:r>
        <w:rPr>
          <w:sz w:val="28"/>
        </w:rPr>
        <w:t>. </w:t>
      </w:r>
      <w:r>
        <w:rPr>
          <w:sz w:val="24"/>
        </w:rPr>
        <w:t>They must live out of state (i.e. dependents, students). Will have suitcase logo on card. Both plans have out of network</w:t>
      </w:r>
      <w:r>
        <w:rPr>
          <w:spacing w:val="-2"/>
          <w:sz w:val="24"/>
        </w:rPr>
        <w:t> </w:t>
      </w:r>
      <w:r>
        <w:rPr>
          <w:sz w:val="24"/>
        </w:rPr>
        <w:t>benefits.</w:t>
      </w:r>
    </w:p>
    <w:p>
      <w:pPr>
        <w:pStyle w:val="BodyText"/>
        <w:spacing w:before="12"/>
        <w:rPr>
          <w:sz w:val="27"/>
        </w:rPr>
      </w:pPr>
    </w:p>
    <w:p>
      <w:pPr>
        <w:pStyle w:val="ListParagraph"/>
        <w:numPr>
          <w:ilvl w:val="1"/>
          <w:numId w:val="1"/>
        </w:numPr>
        <w:tabs>
          <w:tab w:pos="1180" w:val="left" w:leader="none"/>
        </w:tabs>
        <w:spacing w:line="240" w:lineRule="auto" w:before="0" w:after="0"/>
        <w:ind w:left="1180" w:right="0" w:hanging="360"/>
        <w:jc w:val="left"/>
        <w:rPr>
          <w:sz w:val="28"/>
        </w:rPr>
      </w:pPr>
      <w:r>
        <w:rPr>
          <w:b/>
          <w:sz w:val="28"/>
        </w:rPr>
        <w:t>HealthSelect of Texas Out of State </w:t>
      </w:r>
      <w:r>
        <w:rPr>
          <w:sz w:val="28"/>
        </w:rPr>
        <w:t>– </w:t>
      </w:r>
      <w:r>
        <w:rPr>
          <w:sz w:val="24"/>
        </w:rPr>
        <w:t>No PCP</w:t>
      </w:r>
      <w:r>
        <w:rPr>
          <w:spacing w:val="-10"/>
          <w:sz w:val="24"/>
        </w:rPr>
        <w:t> </w:t>
      </w:r>
      <w:r>
        <w:rPr>
          <w:sz w:val="24"/>
        </w:rPr>
        <w:t>required</w:t>
      </w:r>
    </w:p>
    <w:p>
      <w:pPr>
        <w:pStyle w:val="BodyText"/>
        <w:rPr>
          <w:sz w:val="28"/>
        </w:rPr>
      </w:pPr>
    </w:p>
    <w:p>
      <w:pPr>
        <w:pStyle w:val="ListParagraph"/>
        <w:numPr>
          <w:ilvl w:val="1"/>
          <w:numId w:val="1"/>
        </w:numPr>
        <w:tabs>
          <w:tab w:pos="1180" w:val="left" w:leader="none"/>
        </w:tabs>
        <w:spacing w:line="240" w:lineRule="auto" w:before="0" w:after="0"/>
        <w:ind w:left="1180" w:right="0" w:hanging="360"/>
        <w:jc w:val="left"/>
        <w:rPr>
          <w:sz w:val="24"/>
        </w:rPr>
      </w:pPr>
      <w:r>
        <w:rPr>
          <w:b/>
          <w:sz w:val="28"/>
        </w:rPr>
        <w:t>Consumer Directed HealthSelect Out of State </w:t>
      </w:r>
      <w:r>
        <w:rPr>
          <w:sz w:val="28"/>
        </w:rPr>
        <w:t>– </w:t>
      </w:r>
      <w:r>
        <w:rPr>
          <w:sz w:val="24"/>
        </w:rPr>
        <w:t>No PCP</w:t>
      </w:r>
      <w:r>
        <w:rPr>
          <w:spacing w:val="-14"/>
          <w:sz w:val="24"/>
        </w:rPr>
        <w:t> </w:t>
      </w:r>
      <w:r>
        <w:rPr>
          <w:sz w:val="24"/>
        </w:rPr>
        <w:t>required</w:t>
      </w:r>
    </w:p>
    <w:p>
      <w:pPr>
        <w:pStyle w:val="BodyText"/>
        <w:spacing w:before="1"/>
      </w:pPr>
    </w:p>
    <w:p>
      <w:pPr>
        <w:spacing w:line="341" w:lineRule="exact" w:before="0"/>
        <w:ind w:left="3822" w:right="0" w:firstLine="0"/>
        <w:jc w:val="left"/>
        <w:rPr>
          <w:sz w:val="28"/>
        </w:rPr>
      </w:pPr>
      <w:r>
        <w:rPr>
          <w:sz w:val="28"/>
          <w:u w:val="single"/>
        </w:rPr>
        <w:t>Secondary to Medicare</w:t>
      </w:r>
    </w:p>
    <w:p>
      <w:pPr>
        <w:pStyle w:val="ListParagraph"/>
        <w:numPr>
          <w:ilvl w:val="1"/>
          <w:numId w:val="1"/>
        </w:numPr>
        <w:tabs>
          <w:tab w:pos="1180" w:val="left" w:leader="none"/>
        </w:tabs>
        <w:spacing w:line="240" w:lineRule="auto" w:before="0" w:after="0"/>
        <w:ind w:left="1180" w:right="329" w:hanging="360"/>
        <w:jc w:val="left"/>
        <w:rPr>
          <w:sz w:val="24"/>
        </w:rPr>
      </w:pPr>
      <w:r>
        <w:rPr>
          <w:b/>
          <w:sz w:val="28"/>
        </w:rPr>
        <w:t>HealthSelect Secondary 65+Employees </w:t>
      </w:r>
      <w:r>
        <w:rPr>
          <w:sz w:val="24"/>
        </w:rPr>
        <w:t>eligible for Medicare as primary. No PCP required. Member has out of network</w:t>
      </w:r>
      <w:r>
        <w:rPr>
          <w:spacing w:val="-7"/>
          <w:sz w:val="24"/>
        </w:rPr>
        <w:t> </w:t>
      </w:r>
      <w:r>
        <w:rPr>
          <w:sz w:val="24"/>
        </w:rPr>
        <w:t>benefits</w:t>
      </w:r>
    </w:p>
    <w:p>
      <w:pPr>
        <w:pStyle w:val="BodyText"/>
        <w:spacing w:before="1"/>
      </w:pPr>
    </w:p>
    <w:p>
      <w:pPr>
        <w:pStyle w:val="Heading1"/>
        <w:numPr>
          <w:ilvl w:val="0"/>
          <w:numId w:val="1"/>
        </w:numPr>
        <w:tabs>
          <w:tab w:pos="819" w:val="left" w:leader="none"/>
          <w:tab w:pos="820" w:val="left" w:leader="none"/>
        </w:tabs>
        <w:spacing w:line="341" w:lineRule="exact" w:before="0" w:after="0"/>
        <w:ind w:left="819" w:right="0" w:hanging="720"/>
        <w:jc w:val="left"/>
      </w:pPr>
      <w:r>
        <w:rPr/>
        <w:t>PAYOR</w:t>
      </w:r>
    </w:p>
    <w:p>
      <w:pPr>
        <w:pStyle w:val="BodyText"/>
        <w:spacing w:line="292" w:lineRule="exact"/>
        <w:ind w:left="820"/>
      </w:pPr>
      <w:r>
        <w:rPr/>
        <w:t>Self-Funded Plan for ERS of Texas with BCBSTX as administrator.</w:t>
      </w:r>
    </w:p>
    <w:p>
      <w:pPr>
        <w:pStyle w:val="BodyText"/>
        <w:spacing w:line="480" w:lineRule="auto"/>
        <w:ind w:left="1540" w:right="3924"/>
      </w:pPr>
      <w:r>
        <w:rPr/>
        <w:t>Provider Representative – Daphne Lay: </w:t>
      </w:r>
      <w:hyperlink r:id="rId7">
        <w:r>
          <w:rPr>
            <w:color w:val="0000FF"/>
            <w:u w:val="single" w:color="0000FF"/>
          </w:rPr>
          <w:t>Daphne_Lay@bcbstx.com</w:t>
        </w:r>
        <w:r>
          <w:rPr>
            <w:color w:val="0000FF"/>
          </w:rPr>
          <w:t> </w:t>
        </w:r>
      </w:hyperlink>
      <w:r>
        <w:rPr/>
        <w:t>(903) 934-7287</w:t>
      </w:r>
    </w:p>
    <w:p>
      <w:pPr>
        <w:spacing w:after="0" w:line="480" w:lineRule="auto"/>
        <w:sectPr>
          <w:footerReference w:type="default" r:id="rId5"/>
          <w:type w:val="continuous"/>
          <w:pgSz w:w="12240" w:h="15840"/>
          <w:pgMar w:footer="748" w:top="1420" w:bottom="940" w:left="1340" w:right="1340"/>
          <w:pgNumType w:start="1"/>
        </w:sectPr>
      </w:pPr>
    </w:p>
    <w:p>
      <w:pPr>
        <w:pStyle w:val="Heading1"/>
        <w:numPr>
          <w:ilvl w:val="0"/>
          <w:numId w:val="1"/>
        </w:numPr>
        <w:tabs>
          <w:tab w:pos="820" w:val="left" w:leader="none"/>
          <w:tab w:pos="821" w:val="left" w:leader="none"/>
        </w:tabs>
        <w:spacing w:line="240" w:lineRule="auto" w:before="19" w:after="0"/>
        <w:ind w:left="820" w:right="0" w:hanging="721"/>
        <w:jc w:val="left"/>
      </w:pPr>
      <w:r>
        <w:rPr/>
        <w:t>Estimated COVERED</w:t>
      </w:r>
      <w:r>
        <w:rPr>
          <w:spacing w:val="-5"/>
        </w:rPr>
        <w:t> </w:t>
      </w:r>
      <w:r>
        <w:rPr/>
        <w:t>LIVES</w:t>
      </w:r>
    </w:p>
    <w:p>
      <w:pPr>
        <w:pStyle w:val="BodyText"/>
        <w:spacing w:before="1"/>
        <w:rPr>
          <w:b/>
          <w:sz w:val="26"/>
        </w:rPr>
      </w:pPr>
    </w:p>
    <w:p>
      <w:pPr>
        <w:pStyle w:val="Heading2"/>
        <w:spacing w:after="48"/>
        <w:ind w:left="820" w:firstLine="0"/>
      </w:pPr>
      <w:r>
        <w:rPr/>
        <w:t>Service Area Counties and covered lives as of Spring 2017</w:t>
      </w:r>
    </w:p>
    <w:tbl>
      <w:tblPr>
        <w:tblW w:w="0" w:type="auto"/>
        <w:jc w:val="left"/>
        <w:tblInd w:w="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54"/>
        <w:gridCol w:w="1230"/>
        <w:gridCol w:w="2113"/>
        <w:gridCol w:w="940"/>
      </w:tblGrid>
      <w:tr>
        <w:trPr>
          <w:trHeight w:val="266" w:hRule="atLeast"/>
        </w:trPr>
        <w:tc>
          <w:tcPr>
            <w:tcW w:w="1554" w:type="dxa"/>
          </w:tcPr>
          <w:p>
            <w:pPr>
              <w:pStyle w:val="TableParagraph"/>
              <w:spacing w:line="244" w:lineRule="exact"/>
              <w:rPr>
                <w:sz w:val="24"/>
              </w:rPr>
            </w:pPr>
            <w:r>
              <w:rPr>
                <w:sz w:val="24"/>
              </w:rPr>
              <w:t>Angelina</w:t>
            </w:r>
          </w:p>
        </w:tc>
        <w:tc>
          <w:tcPr>
            <w:tcW w:w="1230" w:type="dxa"/>
          </w:tcPr>
          <w:p>
            <w:pPr>
              <w:pStyle w:val="TableParagraph"/>
              <w:spacing w:line="244" w:lineRule="exact"/>
              <w:ind w:left="265"/>
              <w:rPr>
                <w:sz w:val="24"/>
              </w:rPr>
            </w:pPr>
            <w:r>
              <w:rPr>
                <w:sz w:val="24"/>
              </w:rPr>
              <w:t>3950</w:t>
            </w:r>
          </w:p>
        </w:tc>
        <w:tc>
          <w:tcPr>
            <w:tcW w:w="2113" w:type="dxa"/>
          </w:tcPr>
          <w:p>
            <w:pPr>
              <w:pStyle w:val="TableParagraph"/>
              <w:spacing w:line="244" w:lineRule="exact"/>
              <w:ind w:left="475"/>
              <w:rPr>
                <w:sz w:val="24"/>
              </w:rPr>
            </w:pPr>
            <w:r>
              <w:rPr>
                <w:sz w:val="24"/>
              </w:rPr>
              <w:t>Houston</w:t>
            </w:r>
          </w:p>
        </w:tc>
        <w:tc>
          <w:tcPr>
            <w:tcW w:w="940" w:type="dxa"/>
          </w:tcPr>
          <w:p>
            <w:pPr>
              <w:pStyle w:val="TableParagraph"/>
              <w:spacing w:line="244" w:lineRule="exact"/>
              <w:ind w:left="233" w:right="180"/>
              <w:jc w:val="center"/>
              <w:rPr>
                <w:sz w:val="24"/>
              </w:rPr>
            </w:pPr>
            <w:r>
              <w:rPr>
                <w:sz w:val="24"/>
              </w:rPr>
              <w:t>1550</w:t>
            </w:r>
          </w:p>
        </w:tc>
      </w:tr>
      <w:tr>
        <w:trPr>
          <w:trHeight w:val="292" w:hRule="atLeast"/>
        </w:trPr>
        <w:tc>
          <w:tcPr>
            <w:tcW w:w="1554" w:type="dxa"/>
          </w:tcPr>
          <w:p>
            <w:pPr>
              <w:pStyle w:val="TableParagraph"/>
              <w:rPr>
                <w:sz w:val="24"/>
              </w:rPr>
            </w:pPr>
            <w:r>
              <w:rPr>
                <w:sz w:val="24"/>
              </w:rPr>
              <w:t>Jasper</w:t>
            </w:r>
          </w:p>
        </w:tc>
        <w:tc>
          <w:tcPr>
            <w:tcW w:w="1230" w:type="dxa"/>
          </w:tcPr>
          <w:p>
            <w:pPr>
              <w:pStyle w:val="TableParagraph"/>
              <w:ind w:left="265"/>
              <w:rPr>
                <w:sz w:val="24"/>
              </w:rPr>
            </w:pPr>
            <w:r>
              <w:rPr>
                <w:sz w:val="24"/>
              </w:rPr>
              <w:t>915</w:t>
            </w:r>
          </w:p>
        </w:tc>
        <w:tc>
          <w:tcPr>
            <w:tcW w:w="2113" w:type="dxa"/>
          </w:tcPr>
          <w:p>
            <w:pPr>
              <w:pStyle w:val="TableParagraph"/>
              <w:ind w:left="475"/>
              <w:rPr>
                <w:sz w:val="24"/>
              </w:rPr>
            </w:pPr>
            <w:r>
              <w:rPr>
                <w:sz w:val="24"/>
              </w:rPr>
              <w:t>Nacogdoches</w:t>
            </w:r>
          </w:p>
        </w:tc>
        <w:tc>
          <w:tcPr>
            <w:tcW w:w="940" w:type="dxa"/>
          </w:tcPr>
          <w:p>
            <w:pPr>
              <w:pStyle w:val="TableParagraph"/>
              <w:ind w:left="233" w:right="180"/>
              <w:jc w:val="center"/>
              <w:rPr>
                <w:sz w:val="24"/>
              </w:rPr>
            </w:pPr>
            <w:r>
              <w:rPr>
                <w:sz w:val="24"/>
              </w:rPr>
              <w:t>3990</w:t>
            </w:r>
          </w:p>
        </w:tc>
      </w:tr>
      <w:tr>
        <w:trPr>
          <w:trHeight w:val="292" w:hRule="atLeast"/>
        </w:trPr>
        <w:tc>
          <w:tcPr>
            <w:tcW w:w="1554" w:type="dxa"/>
          </w:tcPr>
          <w:p>
            <w:pPr>
              <w:pStyle w:val="TableParagraph"/>
              <w:rPr>
                <w:sz w:val="24"/>
              </w:rPr>
            </w:pPr>
            <w:r>
              <w:rPr>
                <w:sz w:val="24"/>
              </w:rPr>
              <w:t>Newton</w:t>
            </w:r>
          </w:p>
        </w:tc>
        <w:tc>
          <w:tcPr>
            <w:tcW w:w="1230" w:type="dxa"/>
          </w:tcPr>
          <w:p>
            <w:pPr>
              <w:pStyle w:val="TableParagraph"/>
              <w:ind w:left="265"/>
              <w:rPr>
                <w:sz w:val="24"/>
              </w:rPr>
            </w:pPr>
            <w:r>
              <w:rPr>
                <w:sz w:val="24"/>
              </w:rPr>
              <w:t>200</w:t>
            </w:r>
          </w:p>
        </w:tc>
        <w:tc>
          <w:tcPr>
            <w:tcW w:w="2113" w:type="dxa"/>
          </w:tcPr>
          <w:p>
            <w:pPr>
              <w:pStyle w:val="TableParagraph"/>
              <w:ind w:left="475"/>
              <w:rPr>
                <w:sz w:val="24"/>
              </w:rPr>
            </w:pPr>
            <w:r>
              <w:rPr>
                <w:sz w:val="24"/>
              </w:rPr>
              <w:t>Polk</w:t>
            </w:r>
          </w:p>
        </w:tc>
        <w:tc>
          <w:tcPr>
            <w:tcW w:w="940" w:type="dxa"/>
          </w:tcPr>
          <w:p>
            <w:pPr>
              <w:pStyle w:val="TableParagraph"/>
              <w:ind w:left="233" w:right="180"/>
              <w:jc w:val="center"/>
              <w:rPr>
                <w:sz w:val="24"/>
              </w:rPr>
            </w:pPr>
            <w:r>
              <w:rPr>
                <w:sz w:val="24"/>
              </w:rPr>
              <w:t>1700</w:t>
            </w:r>
          </w:p>
        </w:tc>
      </w:tr>
      <w:tr>
        <w:trPr>
          <w:trHeight w:val="292" w:hRule="atLeast"/>
        </w:trPr>
        <w:tc>
          <w:tcPr>
            <w:tcW w:w="1554" w:type="dxa"/>
          </w:tcPr>
          <w:p>
            <w:pPr>
              <w:pStyle w:val="TableParagraph"/>
              <w:rPr>
                <w:sz w:val="24"/>
              </w:rPr>
            </w:pPr>
            <w:r>
              <w:rPr>
                <w:sz w:val="24"/>
              </w:rPr>
              <w:t>Sabine</w:t>
            </w:r>
          </w:p>
        </w:tc>
        <w:tc>
          <w:tcPr>
            <w:tcW w:w="1230" w:type="dxa"/>
          </w:tcPr>
          <w:p>
            <w:pPr>
              <w:pStyle w:val="TableParagraph"/>
              <w:ind w:left="265"/>
              <w:rPr>
                <w:sz w:val="24"/>
              </w:rPr>
            </w:pPr>
            <w:r>
              <w:rPr>
                <w:sz w:val="24"/>
              </w:rPr>
              <w:t>160</w:t>
            </w:r>
          </w:p>
        </w:tc>
        <w:tc>
          <w:tcPr>
            <w:tcW w:w="2113" w:type="dxa"/>
          </w:tcPr>
          <w:p>
            <w:pPr>
              <w:pStyle w:val="TableParagraph"/>
              <w:ind w:left="475"/>
              <w:rPr>
                <w:sz w:val="24"/>
              </w:rPr>
            </w:pPr>
            <w:r>
              <w:rPr>
                <w:sz w:val="24"/>
              </w:rPr>
              <w:t>San Augustine</w:t>
            </w:r>
          </w:p>
        </w:tc>
        <w:tc>
          <w:tcPr>
            <w:tcW w:w="940" w:type="dxa"/>
          </w:tcPr>
          <w:p>
            <w:pPr>
              <w:pStyle w:val="TableParagraph"/>
              <w:ind w:left="113" w:right="180"/>
              <w:jc w:val="center"/>
              <w:rPr>
                <w:sz w:val="24"/>
              </w:rPr>
            </w:pPr>
            <w:r>
              <w:rPr>
                <w:sz w:val="24"/>
              </w:rPr>
              <w:t>155</w:t>
            </w:r>
          </w:p>
        </w:tc>
      </w:tr>
      <w:tr>
        <w:trPr>
          <w:trHeight w:val="292" w:hRule="atLeast"/>
        </w:trPr>
        <w:tc>
          <w:tcPr>
            <w:tcW w:w="1554" w:type="dxa"/>
          </w:tcPr>
          <w:p>
            <w:pPr>
              <w:pStyle w:val="TableParagraph"/>
              <w:rPr>
                <w:sz w:val="24"/>
              </w:rPr>
            </w:pPr>
            <w:r>
              <w:rPr>
                <w:sz w:val="24"/>
              </w:rPr>
              <w:t>San Jacinto</w:t>
            </w:r>
          </w:p>
        </w:tc>
        <w:tc>
          <w:tcPr>
            <w:tcW w:w="1230" w:type="dxa"/>
          </w:tcPr>
          <w:p>
            <w:pPr>
              <w:pStyle w:val="TableParagraph"/>
              <w:ind w:left="265"/>
              <w:rPr>
                <w:sz w:val="24"/>
              </w:rPr>
            </w:pPr>
            <w:r>
              <w:rPr>
                <w:sz w:val="24"/>
              </w:rPr>
              <w:t>655</w:t>
            </w:r>
          </w:p>
        </w:tc>
        <w:tc>
          <w:tcPr>
            <w:tcW w:w="2113" w:type="dxa"/>
          </w:tcPr>
          <w:p>
            <w:pPr>
              <w:pStyle w:val="TableParagraph"/>
              <w:ind w:left="475"/>
              <w:rPr>
                <w:sz w:val="24"/>
              </w:rPr>
            </w:pPr>
            <w:r>
              <w:rPr>
                <w:sz w:val="24"/>
              </w:rPr>
              <w:t>Shelby</w:t>
            </w:r>
          </w:p>
        </w:tc>
        <w:tc>
          <w:tcPr>
            <w:tcW w:w="940" w:type="dxa"/>
          </w:tcPr>
          <w:p>
            <w:pPr>
              <w:pStyle w:val="TableParagraph"/>
              <w:ind w:left="113" w:right="180"/>
              <w:jc w:val="center"/>
              <w:rPr>
                <w:sz w:val="24"/>
              </w:rPr>
            </w:pPr>
            <w:r>
              <w:rPr>
                <w:sz w:val="24"/>
              </w:rPr>
              <w:t>340</w:t>
            </w:r>
          </w:p>
        </w:tc>
      </w:tr>
      <w:tr>
        <w:trPr>
          <w:trHeight w:val="266" w:hRule="atLeast"/>
        </w:trPr>
        <w:tc>
          <w:tcPr>
            <w:tcW w:w="1554" w:type="dxa"/>
          </w:tcPr>
          <w:p>
            <w:pPr>
              <w:pStyle w:val="TableParagraph"/>
              <w:spacing w:line="246" w:lineRule="exact"/>
              <w:rPr>
                <w:sz w:val="24"/>
              </w:rPr>
            </w:pPr>
            <w:r>
              <w:rPr>
                <w:sz w:val="24"/>
              </w:rPr>
              <w:t>Trinity</w:t>
            </w:r>
          </w:p>
        </w:tc>
        <w:tc>
          <w:tcPr>
            <w:tcW w:w="1230" w:type="dxa"/>
          </w:tcPr>
          <w:p>
            <w:pPr>
              <w:pStyle w:val="TableParagraph"/>
              <w:spacing w:line="246" w:lineRule="exact"/>
              <w:ind w:left="265"/>
              <w:rPr>
                <w:sz w:val="24"/>
              </w:rPr>
            </w:pPr>
            <w:r>
              <w:rPr>
                <w:sz w:val="24"/>
              </w:rPr>
              <w:t>1260</w:t>
            </w:r>
          </w:p>
        </w:tc>
        <w:tc>
          <w:tcPr>
            <w:tcW w:w="2113" w:type="dxa"/>
          </w:tcPr>
          <w:p>
            <w:pPr>
              <w:pStyle w:val="TableParagraph"/>
              <w:spacing w:line="246" w:lineRule="exact"/>
              <w:ind w:left="475"/>
              <w:rPr>
                <w:sz w:val="24"/>
              </w:rPr>
            </w:pPr>
            <w:r>
              <w:rPr>
                <w:sz w:val="24"/>
              </w:rPr>
              <w:t>Tyler</w:t>
            </w:r>
          </w:p>
        </w:tc>
        <w:tc>
          <w:tcPr>
            <w:tcW w:w="940" w:type="dxa"/>
          </w:tcPr>
          <w:p>
            <w:pPr>
              <w:pStyle w:val="TableParagraph"/>
              <w:spacing w:line="246" w:lineRule="exact"/>
              <w:ind w:left="113" w:right="180"/>
              <w:jc w:val="center"/>
              <w:rPr>
                <w:sz w:val="24"/>
              </w:rPr>
            </w:pPr>
            <w:r>
              <w:rPr>
                <w:sz w:val="24"/>
              </w:rPr>
              <w:t>825</w:t>
            </w:r>
          </w:p>
        </w:tc>
      </w:tr>
    </w:tbl>
    <w:p>
      <w:pPr>
        <w:pStyle w:val="BodyText"/>
        <w:spacing w:before="6"/>
        <w:rPr>
          <w:sz w:val="26"/>
        </w:rPr>
      </w:pPr>
    </w:p>
    <w:p>
      <w:pPr>
        <w:pStyle w:val="ListParagraph"/>
        <w:numPr>
          <w:ilvl w:val="0"/>
          <w:numId w:val="1"/>
        </w:numPr>
        <w:tabs>
          <w:tab w:pos="819" w:val="left" w:leader="none"/>
          <w:tab w:pos="820" w:val="left" w:leader="none"/>
        </w:tabs>
        <w:spacing w:line="341" w:lineRule="exact" w:before="0" w:after="0"/>
        <w:ind w:left="819" w:right="0" w:hanging="720"/>
        <w:jc w:val="left"/>
        <w:rPr>
          <w:b/>
          <w:sz w:val="28"/>
        </w:rPr>
      </w:pPr>
      <w:r>
        <w:rPr/>
        <w:drawing>
          <wp:anchor distT="0" distB="0" distL="0" distR="0" allowOverlap="1" layoutInCell="1" locked="0" behindDoc="1" simplePos="0" relativeHeight="251327488">
            <wp:simplePos x="0" y="0"/>
            <wp:positionH relativeFrom="page">
              <wp:posOffset>1085767</wp:posOffset>
            </wp:positionH>
            <wp:positionV relativeFrom="paragraph">
              <wp:posOffset>-460092</wp:posOffset>
            </wp:positionV>
            <wp:extent cx="5457811" cy="5248700"/>
            <wp:effectExtent l="0" t="0" r="0" b="0"/>
            <wp:wrapNone/>
            <wp:docPr id="3" name="image1.png"/>
            <wp:cNvGraphicFramePr>
              <a:graphicFrameLocks noChangeAspect="1"/>
            </wp:cNvGraphicFramePr>
            <a:graphic>
              <a:graphicData uri="http://schemas.openxmlformats.org/drawingml/2006/picture">
                <pic:pic>
                  <pic:nvPicPr>
                    <pic:cNvPr id="4" name="image1.png"/>
                    <pic:cNvPicPr/>
                  </pic:nvPicPr>
                  <pic:blipFill>
                    <a:blip r:embed="rId6" cstate="print"/>
                    <a:stretch>
                      <a:fillRect/>
                    </a:stretch>
                  </pic:blipFill>
                  <pic:spPr>
                    <a:xfrm>
                      <a:off x="0" y="0"/>
                      <a:ext cx="5457811" cy="5248700"/>
                    </a:xfrm>
                    <a:prstGeom prst="rect">
                      <a:avLst/>
                    </a:prstGeom>
                  </pic:spPr>
                </pic:pic>
              </a:graphicData>
            </a:graphic>
          </wp:anchor>
        </w:drawing>
      </w:r>
      <w:r>
        <w:rPr>
          <w:b/>
          <w:sz w:val="28"/>
        </w:rPr>
        <w:t>EFFECTIVE</w:t>
      </w:r>
      <w:r>
        <w:rPr>
          <w:b/>
          <w:spacing w:val="-3"/>
          <w:sz w:val="28"/>
        </w:rPr>
        <w:t> </w:t>
      </w:r>
      <w:r>
        <w:rPr>
          <w:b/>
          <w:sz w:val="28"/>
        </w:rPr>
        <w:t>DATE</w:t>
      </w:r>
    </w:p>
    <w:p>
      <w:pPr>
        <w:spacing w:line="341" w:lineRule="exact" w:before="0"/>
        <w:ind w:left="819" w:right="0" w:firstLine="0"/>
        <w:jc w:val="left"/>
        <w:rPr>
          <w:sz w:val="28"/>
        </w:rPr>
      </w:pPr>
      <w:r>
        <w:rPr>
          <w:sz w:val="28"/>
        </w:rPr>
        <w:t>September 1, 2017</w:t>
      </w:r>
    </w:p>
    <w:p>
      <w:pPr>
        <w:pStyle w:val="BodyText"/>
        <w:spacing w:before="1"/>
        <w:rPr>
          <w:sz w:val="26"/>
        </w:rPr>
      </w:pPr>
    </w:p>
    <w:p>
      <w:pPr>
        <w:pStyle w:val="ListParagraph"/>
        <w:numPr>
          <w:ilvl w:val="0"/>
          <w:numId w:val="1"/>
        </w:numPr>
        <w:tabs>
          <w:tab w:pos="819" w:val="left" w:leader="none"/>
          <w:tab w:pos="820" w:val="left" w:leader="none"/>
        </w:tabs>
        <w:spacing w:line="341" w:lineRule="exact" w:before="0" w:after="0"/>
        <w:ind w:left="819" w:right="0" w:hanging="720"/>
        <w:jc w:val="left"/>
        <w:rPr>
          <w:b/>
          <w:sz w:val="28"/>
        </w:rPr>
      </w:pPr>
      <w:r>
        <w:rPr>
          <w:b/>
          <w:sz w:val="28"/>
        </w:rPr>
        <w:t>PROVIDER</w:t>
      </w:r>
      <w:r>
        <w:rPr>
          <w:b/>
          <w:spacing w:val="-2"/>
          <w:sz w:val="28"/>
        </w:rPr>
        <w:t> </w:t>
      </w:r>
      <w:r>
        <w:rPr>
          <w:b/>
          <w:sz w:val="28"/>
        </w:rPr>
        <w:t>MANUAL</w:t>
      </w:r>
    </w:p>
    <w:p>
      <w:pPr>
        <w:pStyle w:val="BodyText"/>
        <w:spacing w:line="292" w:lineRule="exact"/>
        <w:ind w:left="820"/>
      </w:pPr>
      <w:r>
        <w:rPr/>
        <w:t>The POET agreement controls over any conflicting provision in the Provider Manual.</w:t>
      </w:r>
    </w:p>
    <w:p>
      <w:pPr>
        <w:pStyle w:val="BodyText"/>
        <w:rPr>
          <w:sz w:val="22"/>
        </w:rPr>
      </w:pPr>
    </w:p>
    <w:p>
      <w:pPr>
        <w:pStyle w:val="Heading3"/>
        <w:ind w:right="312"/>
      </w:pPr>
      <w:r>
        <w:rPr/>
        <w:t>We highly recommend reviewing topics in the online Provider Manual that are important to your practice. BCBS has the right to revise the Provider Manual from time to time OR upon 90 days prior notice when the revision is materially adverse to physician.</w:t>
      </w:r>
    </w:p>
    <w:p>
      <w:pPr>
        <w:spacing w:line="292" w:lineRule="exact" w:before="0"/>
        <w:ind w:left="820" w:right="0" w:firstLine="0"/>
        <w:jc w:val="left"/>
        <w:rPr>
          <w:b/>
          <w:sz w:val="24"/>
        </w:rPr>
      </w:pPr>
      <w:r>
        <w:rPr>
          <w:b/>
          <w:sz w:val="24"/>
        </w:rPr>
        <w:t>The manual has information directed to PCP and SCP individually and much more.</w:t>
      </w:r>
    </w:p>
    <w:p>
      <w:pPr>
        <w:pStyle w:val="BodyText"/>
        <w:rPr>
          <w:b/>
          <w:sz w:val="22"/>
        </w:rPr>
      </w:pPr>
    </w:p>
    <w:p>
      <w:pPr>
        <w:pStyle w:val="BodyText"/>
        <w:ind w:left="820"/>
      </w:pPr>
      <w:r>
        <w:rPr/>
        <w:t>Available online at </w:t>
      </w:r>
      <w:hyperlink r:id="rId8">
        <w:r>
          <w:rPr>
            <w:color w:val="0000FF"/>
            <w:u w:val="single" w:color="0000FF"/>
          </w:rPr>
          <w:t>www.bcbstx.com/provider/tools/</w:t>
        </w:r>
      </w:hyperlink>
    </w:p>
    <w:p>
      <w:pPr>
        <w:pStyle w:val="ListParagraph"/>
        <w:numPr>
          <w:ilvl w:val="0"/>
          <w:numId w:val="2"/>
        </w:numPr>
        <w:tabs>
          <w:tab w:pos="1180" w:val="left" w:leader="none"/>
        </w:tabs>
        <w:spacing w:line="240" w:lineRule="auto" w:before="2" w:after="0"/>
        <w:ind w:left="1180" w:right="0" w:hanging="360"/>
        <w:jc w:val="left"/>
        <w:rPr>
          <w:sz w:val="24"/>
        </w:rPr>
      </w:pPr>
      <w:r>
        <w:rPr>
          <w:sz w:val="24"/>
        </w:rPr>
        <w:t>In the left box choose</w:t>
      </w:r>
      <w:r>
        <w:rPr>
          <w:spacing w:val="4"/>
          <w:sz w:val="24"/>
        </w:rPr>
        <w:t> </w:t>
      </w:r>
      <w:r>
        <w:rPr>
          <w:sz w:val="24"/>
        </w:rPr>
        <w:t>“Manuals”</w:t>
      </w:r>
    </w:p>
    <w:p>
      <w:pPr>
        <w:pStyle w:val="ListParagraph"/>
        <w:numPr>
          <w:ilvl w:val="0"/>
          <w:numId w:val="2"/>
        </w:numPr>
        <w:tabs>
          <w:tab w:pos="1180" w:val="left" w:leader="none"/>
        </w:tabs>
        <w:spacing w:line="240" w:lineRule="auto" w:before="0" w:after="0"/>
        <w:ind w:left="1180" w:right="0" w:hanging="360"/>
        <w:jc w:val="left"/>
        <w:rPr>
          <w:sz w:val="24"/>
        </w:rPr>
      </w:pPr>
      <w:r>
        <w:rPr>
          <w:sz w:val="24"/>
        </w:rPr>
        <w:t>Password is</w:t>
      </w:r>
      <w:r>
        <w:rPr>
          <w:spacing w:val="1"/>
          <w:sz w:val="24"/>
        </w:rPr>
        <w:t> </w:t>
      </w:r>
      <w:r>
        <w:rPr>
          <w:sz w:val="24"/>
        </w:rPr>
        <w:t>“manual”</w:t>
      </w:r>
    </w:p>
    <w:p>
      <w:pPr>
        <w:pStyle w:val="ListParagraph"/>
        <w:numPr>
          <w:ilvl w:val="0"/>
          <w:numId w:val="2"/>
        </w:numPr>
        <w:tabs>
          <w:tab w:pos="1180" w:val="left" w:leader="none"/>
        </w:tabs>
        <w:spacing w:line="240" w:lineRule="auto" w:before="0" w:after="0"/>
        <w:ind w:left="1180" w:right="0" w:hanging="360"/>
        <w:jc w:val="left"/>
        <w:rPr>
          <w:sz w:val="24"/>
        </w:rPr>
      </w:pPr>
      <w:r>
        <w:rPr>
          <w:sz w:val="24"/>
        </w:rPr>
        <w:t>On next page choose</w:t>
      </w:r>
      <w:r>
        <w:rPr>
          <w:spacing w:val="4"/>
          <w:sz w:val="24"/>
        </w:rPr>
        <w:t> </w:t>
      </w:r>
      <w:r>
        <w:rPr>
          <w:sz w:val="24"/>
        </w:rPr>
        <w:t>“Continue”</w:t>
      </w:r>
    </w:p>
    <w:p>
      <w:pPr>
        <w:pStyle w:val="ListParagraph"/>
        <w:numPr>
          <w:ilvl w:val="0"/>
          <w:numId w:val="2"/>
        </w:numPr>
        <w:tabs>
          <w:tab w:pos="1180" w:val="left" w:leader="none"/>
        </w:tabs>
        <w:spacing w:line="240" w:lineRule="auto" w:before="0" w:after="0"/>
        <w:ind w:left="1180" w:right="0" w:hanging="360"/>
        <w:jc w:val="left"/>
        <w:rPr>
          <w:sz w:val="24"/>
        </w:rPr>
      </w:pPr>
      <w:r>
        <w:rPr>
          <w:sz w:val="24"/>
        </w:rPr>
        <w:t>Manuals –</w:t>
      </w:r>
      <w:r>
        <w:rPr>
          <w:spacing w:val="-2"/>
          <w:sz w:val="24"/>
        </w:rPr>
        <w:t> </w:t>
      </w:r>
      <w:r>
        <w:rPr>
          <w:sz w:val="24"/>
        </w:rPr>
        <w:t>“View”</w:t>
      </w:r>
    </w:p>
    <w:p>
      <w:pPr>
        <w:pStyle w:val="ListParagraph"/>
        <w:numPr>
          <w:ilvl w:val="0"/>
          <w:numId w:val="2"/>
        </w:numPr>
        <w:tabs>
          <w:tab w:pos="1180" w:val="left" w:leader="none"/>
        </w:tabs>
        <w:spacing w:line="240" w:lineRule="auto" w:before="0" w:after="0"/>
        <w:ind w:left="1180" w:right="0" w:hanging="360"/>
        <w:jc w:val="left"/>
        <w:rPr>
          <w:sz w:val="24"/>
        </w:rPr>
      </w:pPr>
      <w:r>
        <w:rPr>
          <w:sz w:val="24"/>
        </w:rPr>
        <w:t>Choose Blue</w:t>
      </w:r>
      <w:r>
        <w:rPr>
          <w:spacing w:val="1"/>
          <w:sz w:val="24"/>
        </w:rPr>
        <w:t> </w:t>
      </w:r>
      <w:r>
        <w:rPr>
          <w:sz w:val="24"/>
        </w:rPr>
        <w:t>Essentials</w:t>
      </w:r>
    </w:p>
    <w:p>
      <w:pPr>
        <w:pStyle w:val="ListParagraph"/>
        <w:numPr>
          <w:ilvl w:val="0"/>
          <w:numId w:val="2"/>
        </w:numPr>
        <w:tabs>
          <w:tab w:pos="1180" w:val="left" w:leader="none"/>
        </w:tabs>
        <w:spacing w:line="240" w:lineRule="auto" w:before="0" w:after="0"/>
        <w:ind w:left="1180" w:right="0" w:hanging="360"/>
        <w:jc w:val="left"/>
        <w:rPr>
          <w:sz w:val="24"/>
        </w:rPr>
      </w:pPr>
      <w:r>
        <w:rPr>
          <w:sz w:val="24"/>
        </w:rPr>
        <w:t>Opens to index for you to choose your</w:t>
      </w:r>
      <w:r>
        <w:rPr>
          <w:spacing w:val="-4"/>
          <w:sz w:val="24"/>
        </w:rPr>
        <w:t> </w:t>
      </w:r>
      <w:r>
        <w:rPr>
          <w:sz w:val="24"/>
        </w:rPr>
        <w:t>topic</w:t>
      </w:r>
    </w:p>
    <w:p>
      <w:pPr>
        <w:pStyle w:val="BodyText"/>
        <w:rPr>
          <w:sz w:val="22"/>
        </w:rPr>
      </w:pPr>
    </w:p>
    <w:p>
      <w:pPr>
        <w:pStyle w:val="Heading1"/>
        <w:numPr>
          <w:ilvl w:val="0"/>
          <w:numId w:val="1"/>
        </w:numPr>
        <w:tabs>
          <w:tab w:pos="819" w:val="left" w:leader="none"/>
          <w:tab w:pos="820" w:val="left" w:leader="none"/>
        </w:tabs>
        <w:spacing w:line="240" w:lineRule="auto" w:before="0" w:after="0"/>
        <w:ind w:left="819" w:right="0" w:hanging="720"/>
        <w:jc w:val="left"/>
      </w:pPr>
      <w:r>
        <w:rPr/>
        <w:t>REIMBURSEMENT</w:t>
      </w:r>
    </w:p>
    <w:p>
      <w:pPr>
        <w:pStyle w:val="BodyText"/>
        <w:spacing w:before="10"/>
        <w:rPr>
          <w:b/>
          <w:sz w:val="25"/>
        </w:rPr>
      </w:pPr>
    </w:p>
    <w:p>
      <w:pPr>
        <w:pStyle w:val="ListParagraph"/>
        <w:numPr>
          <w:ilvl w:val="1"/>
          <w:numId w:val="1"/>
        </w:numPr>
        <w:tabs>
          <w:tab w:pos="1180" w:val="left" w:leader="none"/>
        </w:tabs>
        <w:spacing w:line="240" w:lineRule="auto" w:before="0" w:after="0"/>
        <w:ind w:left="1179" w:right="792" w:hanging="360"/>
        <w:jc w:val="left"/>
        <w:rPr>
          <w:sz w:val="24"/>
        </w:rPr>
      </w:pPr>
      <w:r>
        <w:rPr>
          <w:sz w:val="28"/>
        </w:rPr>
        <w:t>Fee Schedule – </w:t>
      </w:r>
      <w:r>
        <w:rPr>
          <w:sz w:val="24"/>
        </w:rPr>
        <w:t>Geographical difference based on physician’s primary office location. Please see Blue Essentials</w:t>
      </w:r>
      <w:r>
        <w:rPr>
          <w:spacing w:val="-3"/>
          <w:sz w:val="24"/>
        </w:rPr>
        <w:t> </w:t>
      </w:r>
      <w:r>
        <w:rPr>
          <w:sz w:val="24"/>
        </w:rPr>
        <w:t>Summary.</w:t>
      </w:r>
    </w:p>
    <w:p>
      <w:pPr>
        <w:pStyle w:val="BodyText"/>
        <w:spacing w:before="1"/>
        <w:rPr>
          <w:sz w:val="22"/>
        </w:rPr>
      </w:pPr>
    </w:p>
    <w:p>
      <w:pPr>
        <w:pStyle w:val="BodyText"/>
        <w:spacing w:before="1"/>
        <w:ind w:left="1180" w:right="140"/>
      </w:pPr>
      <w:r>
        <w:rPr/>
        <w:t>Angelina, Houston, Nacogdoches, Sabine, San Augustine, Shelby and Trinity counties (</w:t>
      </w:r>
      <w:r>
        <w:rPr>
          <w:b/>
        </w:rPr>
        <w:t>POET North</w:t>
      </w:r>
      <w:r>
        <w:rPr/>
        <w:t>) are under the same as current PPO Commercial (BlueChoice product) fee schedule. Until October 1, 2017 fee schedule update.</w:t>
      </w:r>
    </w:p>
    <w:p>
      <w:pPr>
        <w:pStyle w:val="BodyText"/>
        <w:spacing w:before="11"/>
        <w:rPr>
          <w:sz w:val="21"/>
        </w:rPr>
      </w:pPr>
    </w:p>
    <w:p>
      <w:pPr>
        <w:pStyle w:val="BodyText"/>
        <w:spacing w:before="1"/>
        <w:ind w:left="1180" w:right="739"/>
      </w:pPr>
      <w:r>
        <w:rPr/>
        <w:t>Jasper, Newton, Polk, San Jacinto and Tyler counties (</w:t>
      </w:r>
      <w:r>
        <w:rPr>
          <w:b/>
        </w:rPr>
        <w:t>POET South</w:t>
      </w:r>
      <w:r>
        <w:rPr/>
        <w:t>) are under a different market fee schedule.</w:t>
      </w:r>
    </w:p>
    <w:p>
      <w:pPr>
        <w:pStyle w:val="BodyText"/>
        <w:spacing w:before="11"/>
        <w:rPr>
          <w:sz w:val="23"/>
        </w:rPr>
      </w:pPr>
    </w:p>
    <w:p>
      <w:pPr>
        <w:pStyle w:val="BodyText"/>
        <w:ind w:left="1179"/>
      </w:pPr>
      <w:r>
        <w:rPr/>
        <w:t>Both updated annually; first update October 1, 2017.</w:t>
      </w:r>
    </w:p>
    <w:p>
      <w:pPr>
        <w:spacing w:after="0"/>
        <w:sectPr>
          <w:pgSz w:w="12240" w:h="15840"/>
          <w:pgMar w:header="0" w:footer="748" w:top="1420" w:bottom="940" w:left="1340" w:right="1340"/>
        </w:sectPr>
      </w:pPr>
    </w:p>
    <w:p>
      <w:pPr>
        <w:pStyle w:val="Heading2"/>
        <w:numPr>
          <w:ilvl w:val="1"/>
          <w:numId w:val="1"/>
        </w:numPr>
        <w:tabs>
          <w:tab w:pos="1180" w:val="left" w:leader="none"/>
        </w:tabs>
        <w:spacing w:line="341" w:lineRule="exact" w:before="19" w:after="0"/>
        <w:ind w:left="1179" w:right="0" w:hanging="360"/>
        <w:jc w:val="left"/>
      </w:pPr>
      <w:r>
        <w:rPr/>
        <w:t>CLAIMS FILING</w:t>
      </w:r>
      <w:r>
        <w:rPr>
          <w:spacing w:val="-3"/>
        </w:rPr>
        <w:t> </w:t>
      </w:r>
      <w:r>
        <w:rPr/>
        <w:t>DEADLINE</w:t>
      </w:r>
    </w:p>
    <w:p>
      <w:pPr>
        <w:pStyle w:val="BodyText"/>
        <w:spacing w:line="292" w:lineRule="exact"/>
        <w:ind w:left="1540"/>
      </w:pPr>
      <w:r>
        <w:rPr/>
        <w:t>180 days</w:t>
      </w:r>
    </w:p>
    <w:p>
      <w:pPr>
        <w:pStyle w:val="BodyText"/>
        <w:spacing w:line="242" w:lineRule="auto"/>
        <w:ind w:left="1540" w:right="2918"/>
      </w:pPr>
      <w:r>
        <w:rPr/>
        <w:t>BCBS to pay Clean Claims sent electronically 30 days And non-electronic within 45 days.</w:t>
      </w:r>
    </w:p>
    <w:p>
      <w:pPr>
        <w:pStyle w:val="BodyText"/>
        <w:spacing w:before="8"/>
        <w:rPr>
          <w:sz w:val="25"/>
        </w:rPr>
      </w:pPr>
    </w:p>
    <w:p>
      <w:pPr>
        <w:pStyle w:val="ListParagraph"/>
        <w:numPr>
          <w:ilvl w:val="1"/>
          <w:numId w:val="1"/>
        </w:numPr>
        <w:tabs>
          <w:tab w:pos="1180" w:val="left" w:leader="none"/>
        </w:tabs>
        <w:spacing w:line="240" w:lineRule="auto" w:before="1" w:after="0"/>
        <w:ind w:left="1179" w:right="0" w:hanging="360"/>
        <w:jc w:val="left"/>
        <w:rPr>
          <w:sz w:val="28"/>
        </w:rPr>
      </w:pPr>
      <w:r>
        <w:rPr>
          <w:sz w:val="28"/>
        </w:rPr>
        <w:t>CLEAN CLAIM REQUIREMENT – </w:t>
      </w:r>
      <w:r>
        <w:rPr>
          <w:sz w:val="24"/>
        </w:rPr>
        <w:t>follow Texas state</w:t>
      </w:r>
      <w:r>
        <w:rPr>
          <w:spacing w:val="-7"/>
          <w:sz w:val="24"/>
        </w:rPr>
        <w:t> </w:t>
      </w:r>
      <w:r>
        <w:rPr>
          <w:sz w:val="24"/>
        </w:rPr>
        <w:t>law</w:t>
      </w:r>
    </w:p>
    <w:p>
      <w:pPr>
        <w:pStyle w:val="BodyText"/>
        <w:rPr>
          <w:sz w:val="26"/>
        </w:rPr>
      </w:pPr>
    </w:p>
    <w:p>
      <w:pPr>
        <w:pStyle w:val="Heading2"/>
        <w:numPr>
          <w:ilvl w:val="1"/>
          <w:numId w:val="1"/>
        </w:numPr>
        <w:tabs>
          <w:tab w:pos="1180" w:val="left" w:leader="none"/>
        </w:tabs>
        <w:spacing w:line="341" w:lineRule="exact" w:before="0" w:after="0"/>
        <w:ind w:left="1179" w:right="0" w:hanging="360"/>
        <w:jc w:val="left"/>
      </w:pPr>
      <w:r>
        <w:rPr/>
        <w:drawing>
          <wp:anchor distT="0" distB="0" distL="0" distR="0" allowOverlap="1" layoutInCell="1" locked="0" behindDoc="1" simplePos="0" relativeHeight="251328512">
            <wp:simplePos x="0" y="0"/>
            <wp:positionH relativeFrom="page">
              <wp:posOffset>1085767</wp:posOffset>
            </wp:positionH>
            <wp:positionV relativeFrom="paragraph">
              <wp:posOffset>97690</wp:posOffset>
            </wp:positionV>
            <wp:extent cx="5457811" cy="5248700"/>
            <wp:effectExtent l="0" t="0" r="0" b="0"/>
            <wp:wrapNone/>
            <wp:docPr id="5" name="image2.png"/>
            <wp:cNvGraphicFramePr>
              <a:graphicFrameLocks noChangeAspect="1"/>
            </wp:cNvGraphicFramePr>
            <a:graphic>
              <a:graphicData uri="http://schemas.openxmlformats.org/drawingml/2006/picture">
                <pic:pic>
                  <pic:nvPicPr>
                    <pic:cNvPr id="6" name="image2.png"/>
                    <pic:cNvPicPr/>
                  </pic:nvPicPr>
                  <pic:blipFill>
                    <a:blip r:embed="rId9" cstate="print"/>
                    <a:stretch>
                      <a:fillRect/>
                    </a:stretch>
                  </pic:blipFill>
                  <pic:spPr>
                    <a:xfrm>
                      <a:off x="0" y="0"/>
                      <a:ext cx="5457811" cy="5248700"/>
                    </a:xfrm>
                    <a:prstGeom prst="rect">
                      <a:avLst/>
                    </a:prstGeom>
                  </pic:spPr>
                </pic:pic>
              </a:graphicData>
            </a:graphic>
          </wp:anchor>
        </w:drawing>
      </w:r>
      <w:r>
        <w:rPr/>
        <w:t>APPEALS</w:t>
      </w:r>
      <w:r>
        <w:rPr>
          <w:spacing w:val="-2"/>
        </w:rPr>
        <w:t> </w:t>
      </w:r>
      <w:r>
        <w:rPr/>
        <w:t>PROCESS</w:t>
      </w:r>
    </w:p>
    <w:p>
      <w:pPr>
        <w:pStyle w:val="BodyText"/>
        <w:spacing w:line="292" w:lineRule="exact"/>
        <w:ind w:left="1540"/>
      </w:pPr>
      <w:r>
        <w:rPr/>
        <w:t>Deadline for appeals 180 days</w:t>
      </w:r>
    </w:p>
    <w:p>
      <w:pPr>
        <w:pStyle w:val="BodyText"/>
        <w:ind w:left="1539"/>
      </w:pPr>
      <w:r>
        <w:rPr/>
        <w:t>First claim review within 45 days following the receipt of your request for review.</w:t>
      </w:r>
    </w:p>
    <w:p>
      <w:pPr>
        <w:pStyle w:val="BodyText"/>
        <w:ind w:left="1180"/>
      </w:pPr>
      <w:r>
        <w:rPr/>
        <w:t>More information in Provider Manual Section F</w:t>
      </w:r>
    </w:p>
    <w:p>
      <w:pPr>
        <w:pStyle w:val="BodyText"/>
        <w:spacing w:before="12"/>
        <w:rPr>
          <w:sz w:val="25"/>
        </w:rPr>
      </w:pPr>
    </w:p>
    <w:p>
      <w:pPr>
        <w:pStyle w:val="Heading2"/>
        <w:numPr>
          <w:ilvl w:val="1"/>
          <w:numId w:val="1"/>
        </w:numPr>
        <w:tabs>
          <w:tab w:pos="1180" w:val="left" w:leader="none"/>
        </w:tabs>
        <w:spacing w:line="240" w:lineRule="auto" w:before="0" w:after="0"/>
        <w:ind w:left="1179" w:right="0" w:hanging="360"/>
        <w:jc w:val="left"/>
      </w:pPr>
      <w:r>
        <w:rPr/>
        <w:t>RECOUPMENT</w:t>
      </w:r>
      <w:r>
        <w:rPr>
          <w:spacing w:val="-2"/>
        </w:rPr>
        <w:t> </w:t>
      </w:r>
      <w:r>
        <w:rPr/>
        <w:t>POLICY</w:t>
      </w:r>
    </w:p>
    <w:p>
      <w:pPr>
        <w:pStyle w:val="BodyText"/>
        <w:spacing w:before="1"/>
        <w:ind w:left="1180"/>
      </w:pPr>
      <w:r>
        <w:rPr/>
        <w:t>Provider Manual Section F</w:t>
      </w:r>
    </w:p>
    <w:p>
      <w:pPr>
        <w:pStyle w:val="BodyText"/>
        <w:spacing w:before="12"/>
        <w:rPr>
          <w:sz w:val="25"/>
        </w:rPr>
      </w:pPr>
    </w:p>
    <w:p>
      <w:pPr>
        <w:pStyle w:val="Heading1"/>
        <w:numPr>
          <w:ilvl w:val="0"/>
          <w:numId w:val="1"/>
        </w:numPr>
        <w:tabs>
          <w:tab w:pos="819" w:val="left" w:leader="none"/>
          <w:tab w:pos="820" w:val="left" w:leader="none"/>
        </w:tabs>
        <w:spacing w:line="240" w:lineRule="auto" w:before="0" w:after="0"/>
        <w:ind w:left="819" w:right="0" w:hanging="720"/>
        <w:jc w:val="left"/>
      </w:pPr>
      <w:r>
        <w:rPr/>
        <w:t>PLAN</w:t>
      </w:r>
      <w:r>
        <w:rPr>
          <w:spacing w:val="-3"/>
        </w:rPr>
        <w:t> </w:t>
      </w:r>
      <w:r>
        <w:rPr/>
        <w:t>ADMINISTRATION</w:t>
      </w:r>
    </w:p>
    <w:p>
      <w:pPr>
        <w:pStyle w:val="BodyText"/>
        <w:rPr>
          <w:b/>
          <w:sz w:val="26"/>
        </w:rPr>
      </w:pPr>
    </w:p>
    <w:p>
      <w:pPr>
        <w:pStyle w:val="Heading2"/>
        <w:numPr>
          <w:ilvl w:val="1"/>
          <w:numId w:val="1"/>
        </w:numPr>
        <w:tabs>
          <w:tab w:pos="1179" w:val="left" w:leader="none"/>
          <w:tab w:pos="1180" w:val="left" w:leader="none"/>
          <w:tab w:pos="5139" w:val="left" w:leader="none"/>
        </w:tabs>
        <w:spacing w:line="240" w:lineRule="auto" w:before="1" w:after="0"/>
        <w:ind w:left="1179" w:right="0" w:hanging="449"/>
        <w:jc w:val="left"/>
      </w:pPr>
      <w:r>
        <w:rPr/>
        <w:t>PROVIDER CUSTOMER</w:t>
      </w:r>
      <w:r>
        <w:rPr>
          <w:spacing w:val="-4"/>
        </w:rPr>
        <w:t> </w:t>
      </w:r>
      <w:r>
        <w:rPr/>
        <w:t>SERVICE</w:t>
      </w:r>
      <w:r>
        <w:rPr>
          <w:spacing w:val="-4"/>
        </w:rPr>
        <w:t> </w:t>
      </w:r>
      <w:r>
        <w:rPr/>
        <w:t>–</w:t>
        <w:tab/>
        <w:t>877-299-2377</w:t>
      </w:r>
    </w:p>
    <w:p>
      <w:pPr>
        <w:pStyle w:val="BodyText"/>
        <w:spacing w:before="10"/>
        <w:rPr>
          <w:sz w:val="23"/>
        </w:rPr>
      </w:pPr>
    </w:p>
    <w:p>
      <w:pPr>
        <w:pStyle w:val="ListParagraph"/>
        <w:numPr>
          <w:ilvl w:val="1"/>
          <w:numId w:val="1"/>
        </w:numPr>
        <w:tabs>
          <w:tab w:pos="1179" w:val="left" w:leader="none"/>
          <w:tab w:pos="1180" w:val="left" w:leader="none"/>
          <w:tab w:pos="2979" w:val="left" w:leader="none"/>
        </w:tabs>
        <w:spacing w:line="240" w:lineRule="auto" w:before="1" w:after="0"/>
        <w:ind w:left="1179" w:right="0" w:hanging="449"/>
        <w:jc w:val="left"/>
        <w:rPr>
          <w:sz w:val="28"/>
        </w:rPr>
      </w:pPr>
      <w:r>
        <w:rPr>
          <w:sz w:val="28"/>
        </w:rPr>
        <w:t>ELIGIBILITY</w:t>
      </w:r>
      <w:r>
        <w:rPr>
          <w:spacing w:val="-4"/>
          <w:sz w:val="28"/>
        </w:rPr>
        <w:t> </w:t>
      </w:r>
      <w:r>
        <w:rPr>
          <w:sz w:val="28"/>
        </w:rPr>
        <w:t>–</w:t>
        <w:tab/>
        <w:t>877-299-2377</w:t>
      </w:r>
    </w:p>
    <w:p>
      <w:pPr>
        <w:pStyle w:val="BodyText"/>
        <w:spacing w:before="1"/>
      </w:pPr>
    </w:p>
    <w:p>
      <w:pPr>
        <w:pStyle w:val="ListParagraph"/>
        <w:numPr>
          <w:ilvl w:val="1"/>
          <w:numId w:val="1"/>
        </w:numPr>
        <w:tabs>
          <w:tab w:pos="1179" w:val="left" w:leader="none"/>
          <w:tab w:pos="1180" w:val="left" w:leader="none"/>
        </w:tabs>
        <w:spacing w:line="240" w:lineRule="auto" w:before="0" w:after="0"/>
        <w:ind w:left="1179" w:right="0" w:hanging="449"/>
        <w:jc w:val="left"/>
        <w:rPr>
          <w:sz w:val="28"/>
        </w:rPr>
      </w:pPr>
      <w:r>
        <w:rPr>
          <w:sz w:val="28"/>
        </w:rPr>
        <w:t>VERIFICATION – </w:t>
      </w:r>
      <w:r>
        <w:rPr>
          <w:sz w:val="24"/>
        </w:rPr>
        <w:t>please see Provider Manual for Verification</w:t>
      </w:r>
      <w:r>
        <w:rPr>
          <w:spacing w:val="-12"/>
          <w:sz w:val="24"/>
        </w:rPr>
        <w:t> </w:t>
      </w:r>
      <w:r>
        <w:rPr>
          <w:sz w:val="24"/>
        </w:rPr>
        <w:t>procedure</w:t>
      </w:r>
    </w:p>
    <w:p>
      <w:pPr>
        <w:pStyle w:val="BodyText"/>
        <w:spacing w:before="11"/>
        <w:rPr>
          <w:sz w:val="23"/>
        </w:rPr>
      </w:pPr>
    </w:p>
    <w:p>
      <w:pPr>
        <w:pStyle w:val="ListParagraph"/>
        <w:numPr>
          <w:ilvl w:val="1"/>
          <w:numId w:val="1"/>
        </w:numPr>
        <w:tabs>
          <w:tab w:pos="1180" w:val="left" w:leader="none"/>
        </w:tabs>
        <w:spacing w:line="240" w:lineRule="auto" w:before="0" w:after="0"/>
        <w:ind w:left="1179" w:right="0" w:hanging="449"/>
        <w:jc w:val="left"/>
        <w:rPr>
          <w:sz w:val="28"/>
        </w:rPr>
      </w:pPr>
      <w:r>
        <w:rPr>
          <w:sz w:val="28"/>
        </w:rPr>
        <w:t>PRE-CERTIFICATION/AUTHORIZATION – </w:t>
      </w:r>
      <w:r>
        <w:rPr>
          <w:sz w:val="24"/>
        </w:rPr>
        <w:t>Provider Manual Section</w:t>
      </w:r>
      <w:r>
        <w:rPr>
          <w:spacing w:val="-7"/>
          <w:sz w:val="24"/>
        </w:rPr>
        <w:t> </w:t>
      </w:r>
      <w:r>
        <w:rPr>
          <w:sz w:val="24"/>
        </w:rPr>
        <w:t>E</w:t>
      </w:r>
    </w:p>
    <w:p>
      <w:pPr>
        <w:pStyle w:val="BodyText"/>
        <w:spacing w:before="1"/>
      </w:pPr>
    </w:p>
    <w:p>
      <w:pPr>
        <w:pStyle w:val="Heading2"/>
        <w:numPr>
          <w:ilvl w:val="1"/>
          <w:numId w:val="1"/>
        </w:numPr>
        <w:tabs>
          <w:tab w:pos="1179" w:val="left" w:leader="none"/>
          <w:tab w:pos="1180" w:val="left" w:leader="none"/>
        </w:tabs>
        <w:spacing w:line="341" w:lineRule="exact" w:before="0" w:after="0"/>
        <w:ind w:left="1179" w:right="0" w:hanging="449"/>
        <w:jc w:val="left"/>
      </w:pPr>
      <w:r>
        <w:rPr/>
        <w:t>REFERRALS</w:t>
      </w:r>
      <w:r>
        <w:rPr>
          <w:spacing w:val="-2"/>
        </w:rPr>
        <w:t> </w:t>
      </w:r>
      <w:r>
        <w:rPr/>
        <w:t>DESCRIPTION</w:t>
      </w:r>
    </w:p>
    <w:p>
      <w:pPr>
        <w:pStyle w:val="BodyText"/>
        <w:ind w:left="1540" w:right="103"/>
      </w:pPr>
      <w:r>
        <w:rPr/>
        <w:t>Required to be obtained by PCPs only. Specialist cannot refer to another specialist. Check Provider Manual for exceptions Section B.</w:t>
      </w:r>
    </w:p>
    <w:p>
      <w:pPr>
        <w:pStyle w:val="BodyText"/>
        <w:spacing w:before="11"/>
        <w:rPr>
          <w:sz w:val="23"/>
        </w:rPr>
      </w:pPr>
    </w:p>
    <w:p>
      <w:pPr>
        <w:pStyle w:val="Heading2"/>
        <w:numPr>
          <w:ilvl w:val="1"/>
          <w:numId w:val="1"/>
        </w:numPr>
        <w:tabs>
          <w:tab w:pos="1180" w:val="left" w:leader="none"/>
          <w:tab w:pos="1181" w:val="left" w:leader="none"/>
        </w:tabs>
        <w:spacing w:line="240" w:lineRule="auto" w:before="0" w:after="0"/>
        <w:ind w:left="1180" w:right="0" w:hanging="450"/>
        <w:jc w:val="left"/>
      </w:pPr>
      <w:r>
        <w:rPr/>
        <w:t>APPEALS</w:t>
      </w:r>
      <w:r>
        <w:rPr>
          <w:spacing w:val="-2"/>
        </w:rPr>
        <w:t> </w:t>
      </w:r>
      <w:r>
        <w:rPr/>
        <w:t>–</w:t>
      </w:r>
    </w:p>
    <w:p>
      <w:pPr>
        <w:pStyle w:val="ListParagraph"/>
        <w:numPr>
          <w:ilvl w:val="2"/>
          <w:numId w:val="1"/>
        </w:numPr>
        <w:tabs>
          <w:tab w:pos="1540" w:val="left" w:leader="none"/>
        </w:tabs>
        <w:spacing w:line="240" w:lineRule="auto" w:before="2" w:after="0"/>
        <w:ind w:left="1540" w:right="537" w:hanging="360"/>
        <w:jc w:val="left"/>
        <w:rPr>
          <w:sz w:val="24"/>
        </w:rPr>
      </w:pPr>
      <w:r>
        <w:rPr>
          <w:sz w:val="24"/>
        </w:rPr>
        <w:t>Utilization Management medical necessity determination – call Medical Care Management Dept.</w:t>
      </w:r>
      <w:r>
        <w:rPr>
          <w:spacing w:val="1"/>
          <w:sz w:val="24"/>
        </w:rPr>
        <w:t> </w:t>
      </w:r>
      <w:r>
        <w:rPr>
          <w:sz w:val="24"/>
        </w:rPr>
        <w:t>800-441-9188</w:t>
      </w:r>
    </w:p>
    <w:p>
      <w:pPr>
        <w:pStyle w:val="ListParagraph"/>
        <w:numPr>
          <w:ilvl w:val="2"/>
          <w:numId w:val="1"/>
        </w:numPr>
        <w:tabs>
          <w:tab w:pos="1540" w:val="left" w:leader="none"/>
        </w:tabs>
        <w:spacing w:line="293" w:lineRule="exact" w:before="0" w:after="0"/>
        <w:ind w:left="1540" w:right="0" w:hanging="361"/>
        <w:jc w:val="left"/>
        <w:rPr>
          <w:sz w:val="24"/>
        </w:rPr>
      </w:pPr>
      <w:r>
        <w:rPr>
          <w:sz w:val="24"/>
        </w:rPr>
        <w:t>Claims – see Section F in Provider Manual for</w:t>
      </w:r>
      <w:r>
        <w:rPr>
          <w:spacing w:val="-11"/>
          <w:sz w:val="24"/>
        </w:rPr>
        <w:t> </w:t>
      </w:r>
      <w:r>
        <w:rPr>
          <w:sz w:val="24"/>
        </w:rPr>
        <w:t>process</w:t>
      </w:r>
    </w:p>
    <w:p>
      <w:pPr>
        <w:pStyle w:val="BodyText"/>
        <w:spacing w:before="11"/>
        <w:rPr>
          <w:sz w:val="25"/>
        </w:rPr>
      </w:pPr>
    </w:p>
    <w:p>
      <w:pPr>
        <w:pStyle w:val="Heading1"/>
        <w:numPr>
          <w:ilvl w:val="0"/>
          <w:numId w:val="1"/>
        </w:numPr>
        <w:tabs>
          <w:tab w:pos="819" w:val="left" w:leader="none"/>
          <w:tab w:pos="820" w:val="left" w:leader="none"/>
        </w:tabs>
        <w:spacing w:line="240" w:lineRule="auto" w:before="0" w:after="0"/>
        <w:ind w:left="819" w:right="0" w:hanging="720"/>
        <w:jc w:val="left"/>
      </w:pPr>
      <w:r>
        <w:rPr/>
        <w:t>FACILITIES</w:t>
      </w:r>
    </w:p>
    <w:p>
      <w:pPr>
        <w:pStyle w:val="BodyText"/>
        <w:spacing w:before="1"/>
        <w:rPr>
          <w:b/>
          <w:sz w:val="26"/>
        </w:rPr>
      </w:pPr>
    </w:p>
    <w:p>
      <w:pPr>
        <w:pStyle w:val="ListParagraph"/>
        <w:numPr>
          <w:ilvl w:val="1"/>
          <w:numId w:val="1"/>
        </w:numPr>
        <w:tabs>
          <w:tab w:pos="1180" w:val="left" w:leader="none"/>
        </w:tabs>
        <w:spacing w:line="240" w:lineRule="auto" w:before="0" w:after="0"/>
        <w:ind w:left="1180" w:right="0" w:hanging="360"/>
        <w:jc w:val="left"/>
        <w:rPr>
          <w:sz w:val="24"/>
        </w:rPr>
      </w:pPr>
      <w:r>
        <w:rPr>
          <w:sz w:val="28"/>
        </w:rPr>
        <w:t>LABS – </w:t>
      </w:r>
      <w:r>
        <w:rPr>
          <w:sz w:val="24"/>
        </w:rPr>
        <w:t>Quest Diagnostics</w:t>
      </w:r>
      <w:r>
        <w:rPr>
          <w:spacing w:val="-5"/>
          <w:sz w:val="24"/>
        </w:rPr>
        <w:t> </w:t>
      </w:r>
      <w:r>
        <w:rPr>
          <w:sz w:val="24"/>
        </w:rPr>
        <w:t>exclusive</w:t>
      </w:r>
    </w:p>
    <w:p>
      <w:pPr>
        <w:pStyle w:val="BodyText"/>
        <w:spacing w:before="11"/>
        <w:rPr>
          <w:sz w:val="23"/>
        </w:rPr>
      </w:pPr>
    </w:p>
    <w:p>
      <w:pPr>
        <w:pStyle w:val="ListParagraph"/>
        <w:numPr>
          <w:ilvl w:val="1"/>
          <w:numId w:val="1"/>
        </w:numPr>
        <w:tabs>
          <w:tab w:pos="1180" w:val="left" w:leader="none"/>
        </w:tabs>
        <w:spacing w:line="240" w:lineRule="auto" w:before="0" w:after="0"/>
        <w:ind w:left="1180" w:right="400" w:hanging="360"/>
        <w:jc w:val="left"/>
        <w:rPr>
          <w:sz w:val="24"/>
        </w:rPr>
      </w:pPr>
      <w:r>
        <w:rPr>
          <w:sz w:val="28"/>
        </w:rPr>
        <w:t>IMAGING – </w:t>
      </w:r>
      <w:r>
        <w:rPr>
          <w:sz w:val="24"/>
        </w:rPr>
        <w:t>See Provider Finder for specific locations. Both East Texas Open MRI and Woodland Heights Medical Center are listed.</w:t>
      </w:r>
    </w:p>
    <w:p>
      <w:pPr>
        <w:spacing w:after="0" w:line="240" w:lineRule="auto"/>
        <w:jc w:val="left"/>
        <w:rPr>
          <w:sz w:val="24"/>
        </w:rPr>
        <w:sectPr>
          <w:pgSz w:w="12240" w:h="15840"/>
          <w:pgMar w:header="0" w:footer="748" w:top="1420" w:bottom="940" w:left="1340" w:right="1340"/>
        </w:sectPr>
      </w:pPr>
    </w:p>
    <w:p>
      <w:pPr>
        <w:pStyle w:val="ListParagraph"/>
        <w:numPr>
          <w:ilvl w:val="1"/>
          <w:numId w:val="1"/>
        </w:numPr>
        <w:tabs>
          <w:tab w:pos="1180" w:val="left" w:leader="none"/>
        </w:tabs>
        <w:spacing w:line="240" w:lineRule="auto" w:before="19" w:after="0"/>
        <w:ind w:left="1180" w:right="215" w:hanging="360"/>
        <w:jc w:val="left"/>
        <w:rPr>
          <w:sz w:val="24"/>
        </w:rPr>
      </w:pPr>
      <w:r>
        <w:rPr>
          <w:sz w:val="28"/>
        </w:rPr>
        <w:t>HOSPITALS – </w:t>
      </w:r>
      <w:r>
        <w:rPr>
          <w:sz w:val="24"/>
        </w:rPr>
        <w:t>See Provider Finder for specific locations. Major area Hospitals were listed.</w:t>
      </w:r>
    </w:p>
    <w:p>
      <w:pPr>
        <w:pStyle w:val="BodyText"/>
        <w:spacing w:before="1"/>
        <w:rPr>
          <w:sz w:val="26"/>
        </w:rPr>
      </w:pPr>
    </w:p>
    <w:p>
      <w:pPr>
        <w:pStyle w:val="Heading1"/>
        <w:numPr>
          <w:ilvl w:val="0"/>
          <w:numId w:val="1"/>
        </w:numPr>
        <w:tabs>
          <w:tab w:pos="819" w:val="left" w:leader="none"/>
          <w:tab w:pos="820" w:val="left" w:leader="none"/>
        </w:tabs>
        <w:spacing w:line="240" w:lineRule="auto" w:before="0" w:after="0"/>
        <w:ind w:left="819" w:right="0" w:hanging="720"/>
        <w:jc w:val="left"/>
      </w:pPr>
      <w:r>
        <w:rPr/>
        <w:t>PATIENT</w:t>
      </w:r>
      <w:r>
        <w:rPr>
          <w:spacing w:val="-2"/>
        </w:rPr>
        <w:t> </w:t>
      </w:r>
      <w:r>
        <w:rPr/>
        <w:t>INFO</w:t>
      </w:r>
    </w:p>
    <w:p>
      <w:pPr>
        <w:pStyle w:val="BodyText"/>
        <w:spacing w:before="11"/>
        <w:rPr>
          <w:b/>
          <w:sz w:val="25"/>
        </w:rPr>
      </w:pPr>
    </w:p>
    <w:p>
      <w:pPr>
        <w:pStyle w:val="Heading2"/>
        <w:numPr>
          <w:ilvl w:val="1"/>
          <w:numId w:val="1"/>
        </w:numPr>
        <w:tabs>
          <w:tab w:pos="1180" w:val="left" w:leader="none"/>
        </w:tabs>
        <w:spacing w:line="240" w:lineRule="auto" w:before="0" w:after="0"/>
        <w:ind w:left="1179" w:right="0" w:hanging="360"/>
        <w:jc w:val="left"/>
      </w:pPr>
      <w:r>
        <w:rPr/>
        <w:t>ID CARD – COPY OF</w:t>
      </w:r>
      <w:r>
        <w:rPr>
          <w:spacing w:val="-6"/>
        </w:rPr>
        <w:t> </w:t>
      </w:r>
      <w:r>
        <w:rPr/>
        <w:t>CARD</w:t>
      </w:r>
    </w:p>
    <w:p>
      <w:pPr>
        <w:pStyle w:val="BodyText"/>
        <w:spacing w:before="1"/>
        <w:ind w:left="1180" w:right="305"/>
      </w:pPr>
      <w:r>
        <w:rPr/>
        <w:drawing>
          <wp:anchor distT="0" distB="0" distL="0" distR="0" allowOverlap="1" layoutInCell="1" locked="0" behindDoc="1" simplePos="0" relativeHeight="251329536">
            <wp:simplePos x="0" y="0"/>
            <wp:positionH relativeFrom="page">
              <wp:posOffset>1085767</wp:posOffset>
            </wp:positionH>
            <wp:positionV relativeFrom="paragraph">
              <wp:posOffset>253972</wp:posOffset>
            </wp:positionV>
            <wp:extent cx="5532964" cy="5248700"/>
            <wp:effectExtent l="0" t="0" r="0" b="0"/>
            <wp:wrapNone/>
            <wp:docPr id="7" name="image3.png"/>
            <wp:cNvGraphicFramePr>
              <a:graphicFrameLocks noChangeAspect="1"/>
            </wp:cNvGraphicFramePr>
            <a:graphic>
              <a:graphicData uri="http://schemas.openxmlformats.org/drawingml/2006/picture">
                <pic:pic>
                  <pic:nvPicPr>
                    <pic:cNvPr id="8" name="image3.png"/>
                    <pic:cNvPicPr/>
                  </pic:nvPicPr>
                  <pic:blipFill>
                    <a:blip r:embed="rId10" cstate="print"/>
                    <a:stretch>
                      <a:fillRect/>
                    </a:stretch>
                  </pic:blipFill>
                  <pic:spPr>
                    <a:xfrm>
                      <a:off x="0" y="0"/>
                      <a:ext cx="5532964" cy="5248700"/>
                    </a:xfrm>
                    <a:prstGeom prst="rect">
                      <a:avLst/>
                    </a:prstGeom>
                  </pic:spPr>
                </pic:pic>
              </a:graphicData>
            </a:graphic>
          </wp:anchor>
        </w:drawing>
      </w:r>
      <w:r>
        <w:rPr/>
        <w:t>BCBSTX “recommends that the member’s identification be verified with a photo ID and that a copy be retained for his/her file.”</w:t>
      </w:r>
    </w:p>
    <w:p>
      <w:pPr>
        <w:pStyle w:val="BodyText"/>
        <w:spacing w:before="11"/>
        <w:rPr>
          <w:sz w:val="25"/>
        </w:rPr>
      </w:pPr>
    </w:p>
    <w:p>
      <w:pPr>
        <w:pStyle w:val="Heading2"/>
        <w:numPr>
          <w:ilvl w:val="1"/>
          <w:numId w:val="1"/>
        </w:numPr>
        <w:tabs>
          <w:tab w:pos="1180" w:val="left" w:leader="none"/>
        </w:tabs>
        <w:spacing w:line="240" w:lineRule="auto" w:before="0" w:after="0"/>
        <w:ind w:left="1179" w:right="0" w:hanging="360"/>
        <w:jc w:val="left"/>
      </w:pPr>
      <w:r>
        <w:rPr/>
        <w:t>PATIENT PAYMENT</w:t>
      </w:r>
      <w:r>
        <w:rPr>
          <w:spacing w:val="-3"/>
        </w:rPr>
        <w:t> </w:t>
      </w:r>
      <w:r>
        <w:rPr/>
        <w:t>RESPONSIBILITY</w:t>
      </w:r>
    </w:p>
    <w:p>
      <w:pPr>
        <w:pStyle w:val="BodyText"/>
        <w:spacing w:before="2"/>
        <w:ind w:left="1180" w:right="459"/>
      </w:pPr>
      <w:r>
        <w:rPr/>
        <w:t>“The Blue Essentials member is required to pay a copayment, if applicable, at the time services are</w:t>
      </w:r>
      <w:r>
        <w:rPr>
          <w:spacing w:val="-1"/>
        </w:rPr>
        <w:t> </w:t>
      </w:r>
      <w:r>
        <w:rPr/>
        <w:t>rendered.”</w:t>
      </w:r>
    </w:p>
    <w:p>
      <w:pPr>
        <w:pStyle w:val="BodyText"/>
        <w:spacing w:line="293" w:lineRule="exact"/>
        <w:ind w:left="1180"/>
      </w:pPr>
      <w:r>
        <w:rPr/>
        <w:t>(Provider Manual Section</w:t>
      </w:r>
      <w:r>
        <w:rPr>
          <w:spacing w:val="-6"/>
        </w:rPr>
        <w:t> </w:t>
      </w:r>
      <w:r>
        <w:rPr/>
        <w:t>B)</w:t>
      </w:r>
    </w:p>
    <w:p>
      <w:pPr>
        <w:pStyle w:val="BodyText"/>
        <w:spacing w:before="11"/>
        <w:rPr>
          <w:sz w:val="25"/>
        </w:rPr>
      </w:pPr>
    </w:p>
    <w:p>
      <w:pPr>
        <w:pStyle w:val="BodyText"/>
        <w:ind w:left="1179" w:right="1053"/>
      </w:pPr>
      <w:r>
        <w:rPr/>
        <w:t>“Copayment(s) for basic services shall not exceed 50% of the cost (contract allowable) for covered services.”</w:t>
      </w:r>
    </w:p>
    <w:p>
      <w:pPr>
        <w:pStyle w:val="BodyText"/>
        <w:spacing w:before="11"/>
        <w:rPr>
          <w:sz w:val="25"/>
        </w:rPr>
      </w:pPr>
    </w:p>
    <w:p>
      <w:pPr>
        <w:pStyle w:val="BodyText"/>
        <w:spacing w:before="1"/>
        <w:ind w:left="1179" w:right="217"/>
        <w:rPr>
          <w:sz w:val="28"/>
        </w:rPr>
      </w:pPr>
      <w:r>
        <w:rPr>
          <w:sz w:val="28"/>
        </w:rPr>
        <w:t>From POET Agreement – </w:t>
      </w:r>
      <w:r>
        <w:rPr/>
        <w:t>Physicians are required to diligently pursue and have responsibility for collection of any applicable copayment, coinsurance or deductible amount from members</w:t>
      </w:r>
      <w:r>
        <w:rPr>
          <w:sz w:val="28"/>
        </w:rPr>
        <w:t>.</w:t>
      </w:r>
    </w:p>
    <w:p>
      <w:pPr>
        <w:pStyle w:val="BodyText"/>
        <w:spacing w:before="1"/>
        <w:rPr>
          <w:sz w:val="26"/>
        </w:rPr>
      </w:pPr>
    </w:p>
    <w:p>
      <w:pPr>
        <w:pStyle w:val="ListParagraph"/>
        <w:numPr>
          <w:ilvl w:val="1"/>
          <w:numId w:val="1"/>
        </w:numPr>
        <w:tabs>
          <w:tab w:pos="1180" w:val="left" w:leader="none"/>
        </w:tabs>
        <w:spacing w:line="240" w:lineRule="auto" w:before="1" w:after="0"/>
        <w:ind w:left="1180" w:right="820" w:hanging="360"/>
        <w:jc w:val="left"/>
        <w:rPr>
          <w:sz w:val="24"/>
        </w:rPr>
      </w:pPr>
      <w:r>
        <w:rPr>
          <w:sz w:val="28"/>
        </w:rPr>
        <w:t>BENEFITS SUMMARY – </w:t>
      </w:r>
      <w:r>
        <w:rPr>
          <w:sz w:val="24"/>
        </w:rPr>
        <w:t>This will depend on the benefit plan chosen by the member. Please see enclosed Benefits</w:t>
      </w:r>
      <w:r>
        <w:rPr>
          <w:spacing w:val="-4"/>
          <w:sz w:val="24"/>
        </w:rPr>
        <w:t> </w:t>
      </w:r>
      <w:r>
        <w:rPr>
          <w:sz w:val="24"/>
        </w:rPr>
        <w:t>Comparison.</w:t>
      </w:r>
    </w:p>
    <w:p>
      <w:pPr>
        <w:pStyle w:val="BodyText"/>
        <w:spacing w:before="10"/>
        <w:rPr>
          <w:sz w:val="25"/>
        </w:rPr>
      </w:pPr>
    </w:p>
    <w:p>
      <w:pPr>
        <w:pStyle w:val="Heading1"/>
        <w:numPr>
          <w:ilvl w:val="0"/>
          <w:numId w:val="1"/>
        </w:numPr>
        <w:tabs>
          <w:tab w:pos="819" w:val="left" w:leader="none"/>
          <w:tab w:pos="820" w:val="left" w:leader="none"/>
        </w:tabs>
        <w:spacing w:line="240" w:lineRule="auto" w:before="0" w:after="0"/>
        <w:ind w:left="819" w:right="0" w:hanging="720"/>
        <w:jc w:val="left"/>
      </w:pPr>
      <w:r>
        <w:rPr/>
        <w:t>PHYSICIAN RIGHTS and PHYSICIAN RESPONSIBILITIES</w:t>
      </w:r>
      <w:r>
        <w:rPr>
          <w:spacing w:val="-11"/>
        </w:rPr>
        <w:t> </w:t>
      </w:r>
      <w:r>
        <w:rPr/>
        <w:t>–</w:t>
      </w:r>
    </w:p>
    <w:p>
      <w:pPr>
        <w:pStyle w:val="BodyText"/>
        <w:spacing w:before="1"/>
        <w:rPr>
          <w:b/>
          <w:sz w:val="26"/>
        </w:rPr>
      </w:pPr>
    </w:p>
    <w:p>
      <w:pPr>
        <w:spacing w:before="0"/>
        <w:ind w:left="820" w:right="792" w:firstLine="0"/>
        <w:jc w:val="left"/>
        <w:rPr>
          <w:b/>
          <w:sz w:val="28"/>
        </w:rPr>
      </w:pPr>
      <w:r>
        <w:rPr>
          <w:b/>
          <w:sz w:val="28"/>
          <w:u w:val="single"/>
        </w:rPr>
        <w:t>THE TERMS AND FEE SCHEDULE OF THIS AGREEMENT MUST BE KEPT</w:t>
      </w:r>
      <w:r>
        <w:rPr>
          <w:b/>
          <w:sz w:val="28"/>
        </w:rPr>
        <w:t> </w:t>
      </w:r>
      <w:r>
        <w:rPr>
          <w:b/>
          <w:sz w:val="28"/>
          <w:u w:val="single"/>
        </w:rPr>
        <w:t>CONFIDENTIAL!</w:t>
      </w:r>
    </w:p>
    <w:p>
      <w:pPr>
        <w:pStyle w:val="BodyText"/>
        <w:spacing w:before="4"/>
        <w:rPr>
          <w:b/>
          <w:sz w:val="22"/>
        </w:rPr>
      </w:pPr>
    </w:p>
    <w:p>
      <w:pPr>
        <w:pStyle w:val="ListParagraph"/>
        <w:numPr>
          <w:ilvl w:val="1"/>
          <w:numId w:val="1"/>
        </w:numPr>
        <w:tabs>
          <w:tab w:pos="1180" w:val="left" w:leader="none"/>
        </w:tabs>
        <w:spacing w:line="240" w:lineRule="auto" w:before="45" w:after="0"/>
        <w:ind w:left="1179" w:right="118" w:hanging="360"/>
        <w:jc w:val="left"/>
        <w:rPr>
          <w:sz w:val="24"/>
        </w:rPr>
      </w:pPr>
      <w:r>
        <w:rPr>
          <w:sz w:val="28"/>
        </w:rPr>
        <w:t>OPT OUT/ Termination NOTIFICATION PERIOD – </w:t>
      </w:r>
      <w:r>
        <w:rPr>
          <w:sz w:val="24"/>
        </w:rPr>
        <w:t>90 days written notification. Exception is if BCBS gives notice of decrease in compensation then 30-day notice is required.</w:t>
      </w:r>
    </w:p>
    <w:p>
      <w:pPr>
        <w:pStyle w:val="BodyText"/>
        <w:rPr>
          <w:sz w:val="26"/>
        </w:rPr>
      </w:pPr>
    </w:p>
    <w:p>
      <w:pPr>
        <w:pStyle w:val="ListParagraph"/>
        <w:numPr>
          <w:ilvl w:val="1"/>
          <w:numId w:val="1"/>
        </w:numPr>
        <w:tabs>
          <w:tab w:pos="1180" w:val="left" w:leader="none"/>
        </w:tabs>
        <w:spacing w:line="240" w:lineRule="auto" w:before="0" w:after="0"/>
        <w:ind w:left="1180" w:right="720" w:hanging="360"/>
        <w:jc w:val="left"/>
        <w:rPr>
          <w:sz w:val="28"/>
        </w:rPr>
      </w:pPr>
      <w:r>
        <w:rPr>
          <w:sz w:val="28"/>
        </w:rPr>
        <w:t>CLOSING OF PATIENT PANEL – </w:t>
      </w:r>
      <w:r>
        <w:rPr>
          <w:sz w:val="24"/>
        </w:rPr>
        <w:t>Practice must be closed to all new patients unless BCBS panel of</w:t>
      </w:r>
      <w:r>
        <w:rPr>
          <w:spacing w:val="-3"/>
          <w:sz w:val="24"/>
        </w:rPr>
        <w:t> </w:t>
      </w:r>
      <w:r>
        <w:rPr>
          <w:sz w:val="24"/>
        </w:rPr>
        <w:t>100.</w:t>
      </w:r>
    </w:p>
    <w:p>
      <w:pPr>
        <w:pStyle w:val="BodyText"/>
        <w:rPr>
          <w:sz w:val="26"/>
        </w:rPr>
      </w:pPr>
    </w:p>
    <w:p>
      <w:pPr>
        <w:pStyle w:val="BodyText"/>
        <w:ind w:left="1179" w:right="143"/>
      </w:pPr>
      <w:r>
        <w:rPr/>
        <w:t>“Only upon at least ninety (90) days prior written notice with good cause reasonably acceptable to Company may a Participating IPA Physician prospectively decline to accept new Members as patients… Physician may decline to accept new Members only if such Participating Physician has at least 100 members under participating IPA Physician’s care.” (II.O)</w:t>
      </w:r>
    </w:p>
    <w:p>
      <w:pPr>
        <w:spacing w:after="0"/>
        <w:sectPr>
          <w:pgSz w:w="12240" w:h="15840"/>
          <w:pgMar w:header="0" w:footer="748" w:top="1420" w:bottom="940" w:left="1340" w:right="1340"/>
        </w:sectPr>
      </w:pPr>
    </w:p>
    <w:p>
      <w:pPr>
        <w:pStyle w:val="Heading2"/>
        <w:numPr>
          <w:ilvl w:val="1"/>
          <w:numId w:val="1"/>
        </w:numPr>
        <w:tabs>
          <w:tab w:pos="1180" w:val="left" w:leader="none"/>
        </w:tabs>
        <w:spacing w:line="341" w:lineRule="exact" w:before="19" w:after="0"/>
        <w:ind w:left="1179" w:right="0" w:hanging="360"/>
        <w:jc w:val="left"/>
      </w:pPr>
      <w:r>
        <w:rPr/>
        <w:t>RIGHT TO USE IN</w:t>
      </w:r>
      <w:r>
        <w:rPr>
          <w:spacing w:val="-7"/>
        </w:rPr>
        <w:t> </w:t>
      </w:r>
      <w:r>
        <w:rPr/>
        <w:t>OFFICE</w:t>
      </w:r>
    </w:p>
    <w:p>
      <w:pPr>
        <w:pStyle w:val="ListParagraph"/>
        <w:numPr>
          <w:ilvl w:val="2"/>
          <w:numId w:val="1"/>
        </w:numPr>
        <w:tabs>
          <w:tab w:pos="1468" w:val="left" w:leader="none"/>
        </w:tabs>
        <w:spacing w:line="341" w:lineRule="exact" w:before="0" w:after="0"/>
        <w:ind w:left="1467" w:right="0" w:hanging="289"/>
        <w:jc w:val="left"/>
        <w:rPr>
          <w:sz w:val="28"/>
        </w:rPr>
      </w:pPr>
      <w:r>
        <w:rPr>
          <w:sz w:val="28"/>
        </w:rPr>
        <w:t>LAB -</w:t>
      </w:r>
      <w:r>
        <w:rPr>
          <w:spacing w:val="-2"/>
          <w:sz w:val="28"/>
        </w:rPr>
        <w:t> </w:t>
      </w:r>
      <w:r>
        <w:rPr>
          <w:sz w:val="28"/>
        </w:rPr>
        <w:t>yes</w:t>
      </w:r>
    </w:p>
    <w:p>
      <w:pPr>
        <w:pStyle w:val="BodyText"/>
        <w:spacing w:before="1"/>
        <w:ind w:left="1180"/>
      </w:pPr>
      <w:r>
        <w:rPr/>
        <w:t>See Provider Manual under Outpatient Reimbursable Lab Services List – Section B</w:t>
      </w:r>
    </w:p>
    <w:p>
      <w:pPr>
        <w:pStyle w:val="Heading2"/>
        <w:numPr>
          <w:ilvl w:val="2"/>
          <w:numId w:val="1"/>
        </w:numPr>
        <w:tabs>
          <w:tab w:pos="1531" w:val="left" w:leader="none"/>
        </w:tabs>
        <w:spacing w:line="240" w:lineRule="auto" w:before="1" w:after="0"/>
        <w:ind w:left="1530" w:right="0" w:hanging="351"/>
        <w:jc w:val="left"/>
      </w:pPr>
      <w:r>
        <w:rPr/>
        <w:t>X-RAY -</w:t>
      </w:r>
      <w:r>
        <w:rPr>
          <w:spacing w:val="-2"/>
        </w:rPr>
        <w:t> </w:t>
      </w:r>
      <w:r>
        <w:rPr/>
        <w:t>yes</w:t>
      </w:r>
    </w:p>
    <w:p>
      <w:pPr>
        <w:pStyle w:val="BodyText"/>
        <w:rPr>
          <w:sz w:val="28"/>
        </w:rPr>
      </w:pPr>
    </w:p>
    <w:p>
      <w:pPr>
        <w:pStyle w:val="ListParagraph"/>
        <w:numPr>
          <w:ilvl w:val="1"/>
          <w:numId w:val="1"/>
        </w:numPr>
        <w:tabs>
          <w:tab w:pos="1181" w:val="left" w:leader="none"/>
        </w:tabs>
        <w:spacing w:line="341" w:lineRule="exact" w:before="0" w:after="0"/>
        <w:ind w:left="1180" w:right="0" w:hanging="361"/>
        <w:jc w:val="left"/>
        <w:rPr>
          <w:sz w:val="28"/>
        </w:rPr>
      </w:pPr>
      <w:r>
        <w:rPr>
          <w:sz w:val="28"/>
        </w:rPr>
        <w:t>ACCESS TO INFORMATION AND</w:t>
      </w:r>
      <w:r>
        <w:rPr>
          <w:spacing w:val="-6"/>
          <w:sz w:val="28"/>
        </w:rPr>
        <w:t> </w:t>
      </w:r>
      <w:r>
        <w:rPr>
          <w:sz w:val="28"/>
        </w:rPr>
        <w:t>RECORDS---</w:t>
      </w:r>
    </w:p>
    <w:p>
      <w:pPr>
        <w:pStyle w:val="BodyText"/>
        <w:ind w:left="1180" w:right="851"/>
      </w:pPr>
      <w:r>
        <w:rPr/>
        <w:drawing>
          <wp:anchor distT="0" distB="0" distL="0" distR="0" allowOverlap="1" layoutInCell="1" locked="0" behindDoc="1" simplePos="0" relativeHeight="251330560">
            <wp:simplePos x="0" y="0"/>
            <wp:positionH relativeFrom="page">
              <wp:posOffset>1085767</wp:posOffset>
            </wp:positionH>
            <wp:positionV relativeFrom="paragraph">
              <wp:posOffset>222858</wp:posOffset>
            </wp:positionV>
            <wp:extent cx="5457811" cy="5248700"/>
            <wp:effectExtent l="0" t="0" r="0" b="0"/>
            <wp:wrapNone/>
            <wp:docPr id="9" name="image4.png"/>
            <wp:cNvGraphicFramePr>
              <a:graphicFrameLocks noChangeAspect="1"/>
            </wp:cNvGraphicFramePr>
            <a:graphic>
              <a:graphicData uri="http://schemas.openxmlformats.org/drawingml/2006/picture">
                <pic:pic>
                  <pic:nvPicPr>
                    <pic:cNvPr id="10" name="image4.png"/>
                    <pic:cNvPicPr/>
                  </pic:nvPicPr>
                  <pic:blipFill>
                    <a:blip r:embed="rId11" cstate="print"/>
                    <a:stretch>
                      <a:fillRect/>
                    </a:stretch>
                  </pic:blipFill>
                  <pic:spPr>
                    <a:xfrm>
                      <a:off x="0" y="0"/>
                      <a:ext cx="5457811" cy="5248700"/>
                    </a:xfrm>
                    <a:prstGeom prst="rect">
                      <a:avLst/>
                    </a:prstGeom>
                  </pic:spPr>
                </pic:pic>
              </a:graphicData>
            </a:graphic>
          </wp:anchor>
        </w:drawing>
      </w:r>
      <w:r>
        <w:rPr/>
        <w:t>If your office receives repeated requests for same medical records previously provided please notify POET.</w:t>
      </w:r>
    </w:p>
    <w:p>
      <w:pPr>
        <w:pStyle w:val="BodyText"/>
        <w:spacing w:before="1"/>
        <w:rPr>
          <w:sz w:val="28"/>
        </w:rPr>
      </w:pPr>
    </w:p>
    <w:p>
      <w:pPr>
        <w:pStyle w:val="ListParagraph"/>
        <w:numPr>
          <w:ilvl w:val="1"/>
          <w:numId w:val="1"/>
        </w:numPr>
        <w:tabs>
          <w:tab w:pos="1180" w:val="left" w:leader="none"/>
        </w:tabs>
        <w:spacing w:line="240" w:lineRule="auto" w:before="0" w:after="0"/>
        <w:ind w:left="1179" w:right="243" w:hanging="360"/>
        <w:jc w:val="left"/>
        <w:rPr>
          <w:sz w:val="24"/>
        </w:rPr>
      </w:pPr>
      <w:r>
        <w:rPr>
          <w:sz w:val="28"/>
        </w:rPr>
        <w:t>AFTER HOURS ACCESS - </w:t>
      </w:r>
      <w:r>
        <w:rPr>
          <w:sz w:val="24"/>
        </w:rPr>
        <w:t>“PCPs and SCPs will have a verifiable mechanism in place, for immediate response, for directing patients to alternative after hours care based on the urgency of the patient’s need. Acceptable mechanisms may include: an answering service that offers to call or page the physician or on-call physician; a recorded message that directs the patient to call the answering service and the phone number is provided; or a recorded message that directs the patient to call or page the physician or on-call physician and the phone number is provided.” Provider Manual Section</w:t>
      </w:r>
      <w:r>
        <w:rPr>
          <w:spacing w:val="-8"/>
          <w:sz w:val="24"/>
        </w:rPr>
        <w:t> </w:t>
      </w:r>
      <w:r>
        <w:rPr>
          <w:sz w:val="24"/>
        </w:rPr>
        <w:t>B</w:t>
      </w:r>
    </w:p>
    <w:p>
      <w:pPr>
        <w:pStyle w:val="BodyText"/>
        <w:spacing w:before="11"/>
        <w:rPr>
          <w:sz w:val="27"/>
        </w:rPr>
      </w:pPr>
    </w:p>
    <w:p>
      <w:pPr>
        <w:pStyle w:val="ListParagraph"/>
        <w:numPr>
          <w:ilvl w:val="1"/>
          <w:numId w:val="1"/>
        </w:numPr>
        <w:tabs>
          <w:tab w:pos="1180" w:val="left" w:leader="none"/>
        </w:tabs>
        <w:spacing w:line="240" w:lineRule="auto" w:before="0" w:after="0"/>
        <w:ind w:left="1180" w:right="0" w:hanging="360"/>
        <w:jc w:val="left"/>
        <w:rPr>
          <w:sz w:val="24"/>
        </w:rPr>
      </w:pPr>
      <w:r>
        <w:rPr>
          <w:sz w:val="28"/>
        </w:rPr>
        <w:t>BILLING OF MEMBERS – </w:t>
      </w:r>
      <w:r>
        <w:rPr>
          <w:sz w:val="24"/>
        </w:rPr>
        <w:t>Provider Manual Section</w:t>
      </w:r>
      <w:r>
        <w:rPr>
          <w:spacing w:val="-9"/>
          <w:sz w:val="24"/>
        </w:rPr>
        <w:t> </w:t>
      </w:r>
      <w:r>
        <w:rPr>
          <w:sz w:val="24"/>
        </w:rPr>
        <w:t>F</w:t>
      </w:r>
    </w:p>
    <w:p>
      <w:pPr>
        <w:pStyle w:val="BodyText"/>
        <w:rPr>
          <w:sz w:val="28"/>
        </w:rPr>
      </w:pPr>
    </w:p>
    <w:p>
      <w:pPr>
        <w:pStyle w:val="ListParagraph"/>
        <w:numPr>
          <w:ilvl w:val="1"/>
          <w:numId w:val="1"/>
        </w:numPr>
        <w:tabs>
          <w:tab w:pos="1180" w:val="left" w:leader="none"/>
        </w:tabs>
        <w:spacing w:line="240" w:lineRule="auto" w:before="1" w:after="0"/>
        <w:ind w:left="1180" w:right="202" w:hanging="360"/>
        <w:jc w:val="left"/>
        <w:rPr>
          <w:sz w:val="24"/>
        </w:rPr>
      </w:pPr>
      <w:r>
        <w:rPr>
          <w:sz w:val="28"/>
        </w:rPr>
        <w:t>Non-Covered Services – </w:t>
      </w:r>
      <w:r>
        <w:rPr>
          <w:sz w:val="24"/>
        </w:rPr>
        <w:t>Provider may bill Member for non-covered Services if Provider has a written acknowledgement or agreement (ABN) in advance of</w:t>
      </w:r>
      <w:r>
        <w:rPr>
          <w:spacing w:val="-25"/>
          <w:sz w:val="24"/>
        </w:rPr>
        <w:t> </w:t>
      </w:r>
      <w:r>
        <w:rPr>
          <w:sz w:val="24"/>
        </w:rPr>
        <w:t>service.</w:t>
      </w:r>
    </w:p>
    <w:p>
      <w:pPr>
        <w:pStyle w:val="BodyText"/>
        <w:spacing w:before="10"/>
        <w:rPr>
          <w:sz w:val="23"/>
        </w:rPr>
      </w:pPr>
    </w:p>
    <w:p>
      <w:pPr>
        <w:pStyle w:val="BodyText"/>
        <w:ind w:left="1180" w:right="223"/>
      </w:pPr>
      <w:r>
        <w:rPr/>
        <w:t>In the event that, a Member’s benefits are exhausted (i.e. Physical therapy treatments) Provider may continue to provide treatment if the Member has agreed in writing to pay for those services. The Provider may not charge the Member more than the allowed amount.</w:t>
      </w:r>
    </w:p>
    <w:p>
      <w:pPr>
        <w:pStyle w:val="BodyText"/>
        <w:spacing w:before="2"/>
      </w:pPr>
    </w:p>
    <w:p>
      <w:pPr>
        <w:pStyle w:val="BodyText"/>
        <w:ind w:left="1180" w:right="186"/>
      </w:pPr>
      <w:r>
        <w:rPr/>
        <w:t>When the service to be performed is determined to be a non-covered service to begin with the Provider and Member may come to an agreement on the charge (i.e. breast augmentation). (IV,F)</w:t>
      </w:r>
    </w:p>
    <w:p>
      <w:pPr>
        <w:pStyle w:val="BodyText"/>
      </w:pPr>
    </w:p>
    <w:p>
      <w:pPr>
        <w:pStyle w:val="BodyText"/>
        <w:rPr>
          <w:sz w:val="32"/>
        </w:rPr>
      </w:pPr>
    </w:p>
    <w:p>
      <w:pPr>
        <w:pStyle w:val="Heading2"/>
        <w:numPr>
          <w:ilvl w:val="1"/>
          <w:numId w:val="1"/>
        </w:numPr>
        <w:tabs>
          <w:tab w:pos="1180" w:val="left" w:leader="none"/>
        </w:tabs>
        <w:spacing w:line="341" w:lineRule="exact" w:before="0" w:after="0"/>
        <w:ind w:left="1180" w:right="0" w:hanging="360"/>
        <w:jc w:val="left"/>
      </w:pPr>
      <w:r>
        <w:rPr/>
        <w:t>COMPLIANCE</w:t>
      </w:r>
    </w:p>
    <w:p>
      <w:pPr>
        <w:pStyle w:val="BodyText"/>
        <w:ind w:left="1180" w:right="334"/>
      </w:pPr>
      <w:r>
        <w:rPr/>
        <w:t>Contact Texas Department of Insurance (TDI) to obtain information on companies, coverage, rights or complaints at 800-252-3439 or write TDI at:</w:t>
      </w:r>
    </w:p>
    <w:p>
      <w:pPr>
        <w:pStyle w:val="BodyText"/>
        <w:spacing w:line="293" w:lineRule="exact"/>
        <w:ind w:left="1180"/>
      </w:pPr>
      <w:r>
        <w:rPr/>
        <w:t>TDI,</w:t>
      </w:r>
    </w:p>
    <w:p>
      <w:pPr>
        <w:pStyle w:val="BodyText"/>
        <w:ind w:left="1180" w:right="6095"/>
      </w:pPr>
      <w:r>
        <w:rPr/>
        <w:t>P.O. Box 149091, Austin, TX 78714-9091 OR Fax – 512-475-1771</w:t>
      </w:r>
    </w:p>
    <w:p>
      <w:pPr>
        <w:pStyle w:val="BodyText"/>
        <w:spacing w:before="1"/>
        <w:ind w:left="1180"/>
      </w:pPr>
      <w:r>
        <w:rPr/>
        <w:t>OR Email – </w:t>
      </w:r>
      <w:hyperlink r:id="rId12">
        <w:r>
          <w:rPr>
            <w:color w:val="0000FF"/>
            <w:u w:val="single" w:color="0000FF"/>
          </w:rPr>
          <w:t>ConsumerProtection@tdi.texas.gov</w:t>
        </w:r>
      </w:hyperlink>
    </w:p>
    <w:p>
      <w:pPr>
        <w:spacing w:after="0"/>
        <w:sectPr>
          <w:pgSz w:w="12240" w:h="15840"/>
          <w:pgMar w:header="0" w:footer="748" w:top="1420" w:bottom="940" w:left="1340" w:right="1340"/>
        </w:sectPr>
      </w:pPr>
    </w:p>
    <w:p>
      <w:pPr>
        <w:pStyle w:val="BodyText"/>
        <w:spacing w:before="4"/>
        <w:rPr>
          <w:sz w:val="19"/>
        </w:rPr>
      </w:pPr>
    </w:p>
    <w:p>
      <w:pPr>
        <w:pStyle w:val="ListParagraph"/>
        <w:numPr>
          <w:ilvl w:val="1"/>
          <w:numId w:val="1"/>
        </w:numPr>
        <w:tabs>
          <w:tab w:pos="1179" w:val="left" w:leader="none"/>
          <w:tab w:pos="1180" w:val="left" w:leader="none"/>
        </w:tabs>
        <w:spacing w:line="240" w:lineRule="auto" w:before="44" w:after="0"/>
        <w:ind w:left="1180" w:right="0" w:hanging="360"/>
        <w:jc w:val="left"/>
        <w:rPr>
          <w:sz w:val="28"/>
        </w:rPr>
      </w:pPr>
      <w:r>
        <w:rPr>
          <w:sz w:val="28"/>
        </w:rPr>
        <w:t>Formulary – </w:t>
      </w:r>
      <w:r>
        <w:rPr>
          <w:sz w:val="24"/>
        </w:rPr>
        <w:t>prior authorization may be</w:t>
      </w:r>
      <w:r>
        <w:rPr>
          <w:spacing w:val="-6"/>
          <w:sz w:val="24"/>
        </w:rPr>
        <w:t> </w:t>
      </w:r>
      <w:r>
        <w:rPr>
          <w:sz w:val="24"/>
        </w:rPr>
        <w:t>needed.</w:t>
      </w:r>
    </w:p>
    <w:p>
      <w:pPr>
        <w:pStyle w:val="BodyText"/>
        <w:spacing w:before="1"/>
        <w:rPr>
          <w:sz w:val="28"/>
        </w:rPr>
      </w:pPr>
    </w:p>
    <w:p>
      <w:pPr>
        <w:pStyle w:val="ListParagraph"/>
        <w:numPr>
          <w:ilvl w:val="1"/>
          <w:numId w:val="1"/>
        </w:numPr>
        <w:tabs>
          <w:tab w:pos="1180" w:val="left" w:leader="none"/>
          <w:tab w:pos="1181" w:val="left" w:leader="none"/>
        </w:tabs>
        <w:spacing w:line="240" w:lineRule="auto" w:before="0" w:after="0"/>
        <w:ind w:left="1180" w:right="223" w:hanging="360"/>
        <w:jc w:val="left"/>
        <w:rPr>
          <w:sz w:val="28"/>
        </w:rPr>
      </w:pPr>
      <w:r>
        <w:rPr/>
        <w:drawing>
          <wp:anchor distT="0" distB="0" distL="0" distR="0" allowOverlap="1" layoutInCell="1" locked="0" behindDoc="1" simplePos="0" relativeHeight="251331584">
            <wp:simplePos x="0" y="0"/>
            <wp:positionH relativeFrom="page">
              <wp:posOffset>1085767</wp:posOffset>
            </wp:positionH>
            <wp:positionV relativeFrom="paragraph">
              <wp:posOffset>842908</wp:posOffset>
            </wp:positionV>
            <wp:extent cx="5457811" cy="5248700"/>
            <wp:effectExtent l="0" t="0" r="0" b="0"/>
            <wp:wrapNone/>
            <wp:docPr id="11" name="image4.png"/>
            <wp:cNvGraphicFramePr>
              <a:graphicFrameLocks noChangeAspect="1"/>
            </wp:cNvGraphicFramePr>
            <a:graphic>
              <a:graphicData uri="http://schemas.openxmlformats.org/drawingml/2006/picture">
                <pic:pic>
                  <pic:nvPicPr>
                    <pic:cNvPr id="12" name="image4.png"/>
                    <pic:cNvPicPr/>
                  </pic:nvPicPr>
                  <pic:blipFill>
                    <a:blip r:embed="rId11" cstate="print"/>
                    <a:stretch>
                      <a:fillRect/>
                    </a:stretch>
                  </pic:blipFill>
                  <pic:spPr>
                    <a:xfrm>
                      <a:off x="0" y="0"/>
                      <a:ext cx="5457811" cy="5248700"/>
                    </a:xfrm>
                    <a:prstGeom prst="rect">
                      <a:avLst/>
                    </a:prstGeom>
                  </pic:spPr>
                </pic:pic>
              </a:graphicData>
            </a:graphic>
          </wp:anchor>
        </w:drawing>
      </w:r>
      <w:r>
        <w:rPr>
          <w:sz w:val="28"/>
        </w:rPr>
        <w:t>REFERRALS – </w:t>
      </w:r>
      <w:r>
        <w:rPr>
          <w:sz w:val="24"/>
        </w:rPr>
        <w:t>Referrals and prior authorizations issued by UHC before Sept 1, 2017, will be transferred to BCBS. If the provider is still in the HealthSelect network, referrals and prior authorizations will be honored through the original expiration date. For specialist who will no longer be in the network, referrals and prior authorizations will be honored for 90</w:t>
      </w:r>
      <w:r>
        <w:rPr>
          <w:spacing w:val="-5"/>
          <w:sz w:val="24"/>
        </w:rPr>
        <w:t> </w:t>
      </w:r>
      <w:r>
        <w:rPr>
          <w:sz w:val="24"/>
        </w:rPr>
        <w:t>days.</w:t>
      </w:r>
    </w:p>
    <w:p>
      <w:pPr>
        <w:pStyle w:val="BodyText"/>
        <w:ind w:left="1180"/>
      </w:pPr>
      <w:r>
        <w:rPr/>
        <w:t>(Source – bcbstx.com/hs/getting-care/referrals-and-prior-authorizations.html)</w:t>
      </w:r>
    </w:p>
    <w:p>
      <w:pPr>
        <w:pStyle w:val="BodyText"/>
      </w:pPr>
    </w:p>
    <w:p>
      <w:pPr>
        <w:pStyle w:val="BodyText"/>
        <w:ind w:left="1180" w:right="179"/>
      </w:pPr>
      <w:r>
        <w:rPr/>
        <w:t>Specialist – “…Shall comply provide Covered Services to Members only upon a Proper Referral or Preauthorization, as applicable, except in cases requiring Emergency Care. Specials shall discuss with and seek approval from the referring Participation physician prior to rendering or arranging any continuing treatment which is beyond the specific treatment described in the Proper Referral. In addition, Specialist shall not refer a Member to another physician or Provider without the prior concurrence of the Member’s Primary Care Physician or Obstetrician/Gynecologist, as applicable.” (II.E.2)</w:t>
      </w:r>
    </w:p>
    <w:p>
      <w:pPr>
        <w:pStyle w:val="BodyText"/>
        <w:spacing w:before="1"/>
      </w:pPr>
    </w:p>
    <w:p>
      <w:pPr>
        <w:pStyle w:val="Heading2"/>
        <w:ind w:left="1180" w:firstLine="0"/>
      </w:pPr>
      <w:r>
        <w:rPr/>
        <w:t>Check out IExchange for online referrals</w:t>
      </w:r>
    </w:p>
    <w:p>
      <w:pPr>
        <w:pStyle w:val="BodyText"/>
        <w:rPr>
          <w:sz w:val="28"/>
        </w:rPr>
      </w:pPr>
    </w:p>
    <w:p>
      <w:pPr>
        <w:pStyle w:val="ListParagraph"/>
        <w:numPr>
          <w:ilvl w:val="1"/>
          <w:numId w:val="1"/>
        </w:numPr>
        <w:tabs>
          <w:tab w:pos="1180" w:val="left" w:leader="none"/>
        </w:tabs>
        <w:spacing w:line="240" w:lineRule="auto" w:before="0" w:after="0"/>
        <w:ind w:left="1180" w:right="108" w:hanging="360"/>
        <w:jc w:val="left"/>
        <w:rPr>
          <w:sz w:val="28"/>
        </w:rPr>
      </w:pPr>
      <w:r>
        <w:rPr>
          <w:sz w:val="28"/>
        </w:rPr>
        <w:t>USE OF NON-PHYSICIANS PROVIDERS – </w:t>
      </w:r>
      <w:r>
        <w:rPr>
          <w:sz w:val="24"/>
        </w:rPr>
        <w:t>Non-Physician Providers (NPP) will not be required to have separate direct contract with BCBS in order to be reimbursed for services when credentialed by POET under POET Physician as supervising physician. The POET Physician’s contract will cover the</w:t>
      </w:r>
      <w:r>
        <w:rPr>
          <w:spacing w:val="-2"/>
          <w:sz w:val="24"/>
        </w:rPr>
        <w:t> </w:t>
      </w:r>
      <w:r>
        <w:rPr>
          <w:sz w:val="24"/>
        </w:rPr>
        <w:t>NPP.</w:t>
      </w:r>
    </w:p>
    <w:p>
      <w:pPr>
        <w:pStyle w:val="BodyText"/>
        <w:ind w:left="1180" w:right="585"/>
      </w:pPr>
      <w:r>
        <w:rPr/>
        <w:t>FYI from BCBS – “A supervising physician does have the option to file midlevel services under the NPI, with the applicable AS/SA Modifier for reimbursement.”</w:t>
      </w:r>
    </w:p>
    <w:p>
      <w:pPr>
        <w:pStyle w:val="BodyText"/>
        <w:spacing w:before="10"/>
        <w:rPr>
          <w:sz w:val="23"/>
        </w:rPr>
      </w:pPr>
    </w:p>
    <w:p>
      <w:pPr>
        <w:pStyle w:val="BodyText"/>
        <w:ind w:left="1179" w:right="534"/>
      </w:pPr>
      <w:r>
        <w:rPr/>
        <w:t>Reference page 2 of the attachment (link below) concerning the AS/SA modifier: </w:t>
      </w:r>
      <w:hyperlink r:id="rId13">
        <w:r>
          <w:rPr>
            <w:color w:val="0000FF"/>
            <w:u w:val="single" w:color="0000FF"/>
          </w:rPr>
          <w:t>https://www.bcbstx.com/provider/pdf/prof_claims_121514.pdf</w:t>
        </w:r>
      </w:hyperlink>
    </w:p>
    <w:p>
      <w:pPr>
        <w:pStyle w:val="BodyText"/>
        <w:spacing w:before="7"/>
        <w:rPr>
          <w:sz w:val="20"/>
        </w:rPr>
      </w:pPr>
    </w:p>
    <w:p>
      <w:pPr>
        <w:pStyle w:val="Heading2"/>
        <w:numPr>
          <w:ilvl w:val="1"/>
          <w:numId w:val="1"/>
        </w:numPr>
        <w:tabs>
          <w:tab w:pos="1180" w:val="left" w:leader="none"/>
        </w:tabs>
        <w:spacing w:line="341" w:lineRule="exact" w:before="44" w:after="0"/>
        <w:ind w:left="1179" w:right="0" w:hanging="360"/>
        <w:jc w:val="left"/>
      </w:pPr>
      <w:r>
        <w:rPr/>
        <w:t>ACCESS – Call</w:t>
      </w:r>
      <w:r>
        <w:rPr>
          <w:spacing w:val="-5"/>
        </w:rPr>
        <w:t> </w:t>
      </w:r>
      <w:r>
        <w:rPr/>
        <w:t>Coverage</w:t>
      </w:r>
    </w:p>
    <w:p>
      <w:pPr>
        <w:pStyle w:val="ListParagraph"/>
        <w:numPr>
          <w:ilvl w:val="0"/>
          <w:numId w:val="3"/>
        </w:numPr>
        <w:tabs>
          <w:tab w:pos="1540" w:val="left" w:leader="none"/>
        </w:tabs>
        <w:spacing w:line="240" w:lineRule="auto" w:before="0" w:after="0"/>
        <w:ind w:left="1540" w:right="159" w:hanging="360"/>
        <w:jc w:val="left"/>
        <w:rPr>
          <w:sz w:val="24"/>
        </w:rPr>
      </w:pPr>
      <w:r>
        <w:rPr>
          <w:sz w:val="24"/>
        </w:rPr>
        <w:t>Reliable 24 hours, 7 days a week answering service or machine with a beeper or paging system. A recorded message or answering service which refers Members to the emergency room is not</w:t>
      </w:r>
      <w:r>
        <w:rPr>
          <w:spacing w:val="-3"/>
          <w:sz w:val="24"/>
        </w:rPr>
        <w:t> </w:t>
      </w:r>
      <w:r>
        <w:rPr>
          <w:sz w:val="24"/>
        </w:rPr>
        <w:t>acceptable.</w:t>
      </w:r>
    </w:p>
    <w:p>
      <w:pPr>
        <w:pStyle w:val="ListParagraph"/>
        <w:numPr>
          <w:ilvl w:val="0"/>
          <w:numId w:val="3"/>
        </w:numPr>
        <w:tabs>
          <w:tab w:pos="1540" w:val="left" w:leader="none"/>
        </w:tabs>
        <w:spacing w:line="240" w:lineRule="auto" w:before="0" w:after="0"/>
        <w:ind w:left="1540" w:right="498" w:hanging="360"/>
        <w:jc w:val="both"/>
        <w:rPr>
          <w:sz w:val="24"/>
        </w:rPr>
      </w:pPr>
      <w:r>
        <w:rPr>
          <w:sz w:val="24"/>
        </w:rPr>
        <w:t>Be available at all time to hospital emergency room personnel for emergency care treatment and post-stabilization treatment to members. Such requests must be responded to within one</w:t>
      </w:r>
      <w:r>
        <w:rPr>
          <w:spacing w:val="-9"/>
          <w:sz w:val="24"/>
        </w:rPr>
        <w:t> </w:t>
      </w:r>
      <w:r>
        <w:rPr>
          <w:sz w:val="24"/>
        </w:rPr>
        <w:t>hour.</w:t>
      </w:r>
    </w:p>
    <w:p>
      <w:pPr>
        <w:pStyle w:val="BodyText"/>
        <w:spacing w:before="1"/>
      </w:pPr>
    </w:p>
    <w:p>
      <w:pPr>
        <w:pStyle w:val="ListParagraph"/>
        <w:numPr>
          <w:ilvl w:val="0"/>
          <w:numId w:val="3"/>
        </w:numPr>
        <w:tabs>
          <w:tab w:pos="1540" w:val="left" w:leader="none"/>
        </w:tabs>
        <w:spacing w:line="240" w:lineRule="auto" w:before="0" w:after="0"/>
        <w:ind w:left="1540" w:right="150" w:hanging="360"/>
        <w:jc w:val="both"/>
        <w:rPr>
          <w:sz w:val="28"/>
        </w:rPr>
      </w:pPr>
      <w:r>
        <w:rPr>
          <w:sz w:val="28"/>
        </w:rPr>
        <w:t>Contract provision – </w:t>
      </w:r>
      <w:r>
        <w:rPr>
          <w:sz w:val="24"/>
        </w:rPr>
        <w:t>“Providers shall ensure that Covered Services are readily available during Providers regular business hours on business days and available to direct Emergency Care Covered Services twenty-four (24) hours per</w:t>
      </w:r>
      <w:r>
        <w:rPr>
          <w:spacing w:val="-15"/>
          <w:sz w:val="24"/>
        </w:rPr>
        <w:t> </w:t>
      </w:r>
      <w:r>
        <w:rPr>
          <w:sz w:val="24"/>
        </w:rPr>
        <w:t>day,</w:t>
      </w:r>
    </w:p>
    <w:p>
      <w:pPr>
        <w:spacing w:after="0" w:line="240" w:lineRule="auto"/>
        <w:jc w:val="both"/>
        <w:rPr>
          <w:sz w:val="28"/>
        </w:rPr>
        <w:sectPr>
          <w:pgSz w:w="12240" w:h="15840"/>
          <w:pgMar w:header="0" w:footer="748" w:top="1500" w:bottom="940" w:left="1340" w:right="1340"/>
        </w:sectPr>
      </w:pPr>
    </w:p>
    <w:p>
      <w:pPr>
        <w:pStyle w:val="BodyText"/>
        <w:spacing w:before="39"/>
        <w:ind w:left="1540" w:right="114"/>
      </w:pPr>
      <w:r>
        <w:rPr/>
        <w:drawing>
          <wp:anchor distT="0" distB="0" distL="0" distR="0" allowOverlap="1" layoutInCell="1" locked="0" behindDoc="1" simplePos="0" relativeHeight="251332608">
            <wp:simplePos x="0" y="0"/>
            <wp:positionH relativeFrom="page">
              <wp:posOffset>1085767</wp:posOffset>
            </wp:positionH>
            <wp:positionV relativeFrom="paragraph">
              <wp:posOffset>1518638</wp:posOffset>
            </wp:positionV>
            <wp:extent cx="5457811" cy="5248700"/>
            <wp:effectExtent l="0" t="0" r="0" b="0"/>
            <wp:wrapNone/>
            <wp:docPr id="13" name="image4.png"/>
            <wp:cNvGraphicFramePr>
              <a:graphicFrameLocks noChangeAspect="1"/>
            </wp:cNvGraphicFramePr>
            <a:graphic>
              <a:graphicData uri="http://schemas.openxmlformats.org/drawingml/2006/picture">
                <pic:pic>
                  <pic:nvPicPr>
                    <pic:cNvPr id="14" name="image4.png"/>
                    <pic:cNvPicPr/>
                  </pic:nvPicPr>
                  <pic:blipFill>
                    <a:blip r:embed="rId11" cstate="print"/>
                    <a:stretch>
                      <a:fillRect/>
                    </a:stretch>
                  </pic:blipFill>
                  <pic:spPr>
                    <a:xfrm>
                      <a:off x="0" y="0"/>
                      <a:ext cx="5457811" cy="5248700"/>
                    </a:xfrm>
                    <a:prstGeom prst="rect">
                      <a:avLst/>
                    </a:prstGeom>
                  </pic:spPr>
                </pic:pic>
              </a:graphicData>
            </a:graphic>
          </wp:anchor>
        </w:drawing>
      </w:r>
      <w:r>
        <w:rPr/>
        <w:t>seven (7) days per week, including holidays where applicable. Provider shall provide such services in the same manner, in accordance with the same standards, and within the same time availability as such services are provided to other patients without regard to the degree of frequency of utilizations of such Covered Services by Members. In the event Provider is temporarily unavailable, Provider may provide Covered Services through designee, provide that such designee, must have an equivalent competence and specialty, and must agree to provide Covered Services to Members under the same compensation arrangements and comply with BCBSTX procedures. Provider may make a special arrangement with BCBSTX in the event of the extended temporary absence of a Provider. A Primary Care Physician or designee shall be available at all times to direct patient care rendered by Hospital emergency department personnel for determination of appropriateness and Medical Necessity and to provide post- stabilization treatment to Members following Emergency Care. Provider acknowledges and agrees that such requests must be responded to by Provider within the time appropriate to the circumstances, but in no case to exceed one</w:t>
      </w:r>
    </w:p>
    <w:p>
      <w:pPr>
        <w:pStyle w:val="ListParagraph"/>
        <w:numPr>
          <w:ilvl w:val="1"/>
          <w:numId w:val="3"/>
        </w:numPr>
        <w:tabs>
          <w:tab w:pos="1862" w:val="left" w:leader="none"/>
        </w:tabs>
        <w:spacing w:line="293" w:lineRule="exact" w:before="0" w:after="0"/>
        <w:ind w:left="1861" w:right="0" w:hanging="322"/>
        <w:jc w:val="left"/>
        <w:rPr>
          <w:sz w:val="24"/>
        </w:rPr>
      </w:pPr>
      <w:r>
        <w:rPr>
          <w:sz w:val="24"/>
        </w:rPr>
        <w:t>hour.”</w:t>
      </w:r>
      <w:r>
        <w:rPr>
          <w:spacing w:val="-3"/>
          <w:sz w:val="24"/>
        </w:rPr>
        <w:t> </w:t>
      </w:r>
      <w:r>
        <w:rPr>
          <w:sz w:val="24"/>
        </w:rPr>
        <w:t>(II.B)</w:t>
      </w:r>
    </w:p>
    <w:p>
      <w:pPr>
        <w:pStyle w:val="BodyText"/>
        <w:spacing w:before="1"/>
        <w:rPr>
          <w:sz w:val="28"/>
        </w:rPr>
      </w:pPr>
    </w:p>
    <w:p>
      <w:pPr>
        <w:pStyle w:val="Heading2"/>
        <w:tabs>
          <w:tab w:pos="3700" w:val="left" w:leader="none"/>
        </w:tabs>
        <w:spacing w:before="1"/>
        <w:ind w:left="820" w:firstLine="0"/>
      </w:pPr>
      <w:r>
        <w:rPr>
          <w:b/>
        </w:rPr>
        <w:t>F.   </w:t>
      </w:r>
      <w:r>
        <w:rPr/>
        <w:t>CHART</w:t>
      </w:r>
      <w:r>
        <w:rPr>
          <w:spacing w:val="-38"/>
        </w:rPr>
        <w:t> </w:t>
      </w:r>
      <w:r>
        <w:rPr/>
        <w:t>REVIEWS</w:t>
      </w:r>
      <w:r>
        <w:rPr>
          <w:spacing w:val="-1"/>
        </w:rPr>
        <w:t> </w:t>
      </w:r>
      <w:r>
        <w:rPr/>
        <w:t>-</w:t>
        <w:tab/>
        <w:t>Provider Manual Section</w:t>
      </w:r>
      <w:r>
        <w:rPr>
          <w:spacing w:val="-6"/>
        </w:rPr>
        <w:t> </w:t>
      </w:r>
      <w:r>
        <w:rPr/>
        <w:t>G</w:t>
      </w:r>
    </w:p>
    <w:p>
      <w:pPr>
        <w:pStyle w:val="BodyText"/>
        <w:spacing w:before="10"/>
        <w:rPr>
          <w:sz w:val="27"/>
        </w:rPr>
      </w:pPr>
    </w:p>
    <w:p>
      <w:pPr>
        <w:pStyle w:val="ListParagraph"/>
        <w:numPr>
          <w:ilvl w:val="0"/>
          <w:numId w:val="1"/>
        </w:numPr>
        <w:tabs>
          <w:tab w:pos="820" w:val="left" w:leader="none"/>
          <w:tab w:pos="821" w:val="left" w:leader="none"/>
        </w:tabs>
        <w:spacing w:line="240" w:lineRule="auto" w:before="0" w:after="0"/>
        <w:ind w:left="820" w:right="0" w:hanging="721"/>
        <w:jc w:val="left"/>
        <w:rPr>
          <w:b/>
          <w:sz w:val="28"/>
        </w:rPr>
      </w:pPr>
      <w:r>
        <w:rPr>
          <w:b/>
          <w:sz w:val="28"/>
        </w:rPr>
        <w:t>MCO</w:t>
      </w:r>
      <w:r>
        <w:rPr>
          <w:b/>
          <w:spacing w:val="-3"/>
          <w:sz w:val="28"/>
        </w:rPr>
        <w:t> </w:t>
      </w:r>
      <w:r>
        <w:rPr>
          <w:b/>
          <w:sz w:val="28"/>
        </w:rPr>
        <w:t>RESPONSIBILITIES</w:t>
      </w:r>
    </w:p>
    <w:p>
      <w:pPr>
        <w:pStyle w:val="ListParagraph"/>
        <w:numPr>
          <w:ilvl w:val="1"/>
          <w:numId w:val="1"/>
        </w:numPr>
        <w:tabs>
          <w:tab w:pos="1181" w:val="left" w:leader="none"/>
        </w:tabs>
        <w:spacing w:line="240" w:lineRule="auto" w:before="1" w:after="0"/>
        <w:ind w:left="1540" w:right="2063" w:hanging="720"/>
        <w:jc w:val="left"/>
        <w:rPr>
          <w:sz w:val="28"/>
        </w:rPr>
      </w:pPr>
      <w:r>
        <w:rPr>
          <w:sz w:val="28"/>
        </w:rPr>
        <w:t>POLICIES – Will provide notification of modified policies Policies can be found on –</w:t>
      </w:r>
      <w:r>
        <w:rPr>
          <w:spacing w:val="-12"/>
          <w:sz w:val="28"/>
        </w:rPr>
        <w:t> </w:t>
      </w:r>
      <w:r>
        <w:rPr>
          <w:sz w:val="28"/>
        </w:rPr>
        <w:t>bcbstx.com</w:t>
      </w:r>
    </w:p>
    <w:p>
      <w:pPr>
        <w:pStyle w:val="BodyText"/>
        <w:rPr>
          <w:sz w:val="28"/>
        </w:rPr>
      </w:pPr>
    </w:p>
    <w:p>
      <w:pPr>
        <w:pStyle w:val="ListParagraph"/>
        <w:numPr>
          <w:ilvl w:val="1"/>
          <w:numId w:val="1"/>
        </w:numPr>
        <w:tabs>
          <w:tab w:pos="1181" w:val="left" w:leader="none"/>
        </w:tabs>
        <w:spacing w:line="240" w:lineRule="auto" w:before="0" w:after="0"/>
        <w:ind w:left="1180" w:right="111" w:hanging="360"/>
        <w:jc w:val="left"/>
        <w:rPr>
          <w:sz w:val="28"/>
        </w:rPr>
      </w:pPr>
      <w:r>
        <w:rPr>
          <w:sz w:val="28"/>
        </w:rPr>
        <w:t>Notify Providers of designated members selecting them as PCP within 30 working days of assignment.</w:t>
      </w:r>
      <w:r>
        <w:rPr>
          <w:spacing w:val="-5"/>
          <w:sz w:val="28"/>
        </w:rPr>
        <w:t> </w:t>
      </w:r>
      <w:r>
        <w:rPr>
          <w:sz w:val="28"/>
        </w:rPr>
        <w:t>(III.D)</w:t>
      </w:r>
    </w:p>
    <w:p>
      <w:pPr>
        <w:pStyle w:val="BodyText"/>
        <w:spacing w:before="11"/>
        <w:rPr>
          <w:sz w:val="27"/>
        </w:rPr>
      </w:pPr>
    </w:p>
    <w:p>
      <w:pPr>
        <w:pStyle w:val="ListParagraph"/>
        <w:numPr>
          <w:ilvl w:val="1"/>
          <w:numId w:val="1"/>
        </w:numPr>
        <w:tabs>
          <w:tab w:pos="1181" w:val="left" w:leader="none"/>
        </w:tabs>
        <w:spacing w:line="240" w:lineRule="auto" w:before="1" w:after="0"/>
        <w:ind w:left="1180" w:right="0" w:hanging="361"/>
        <w:jc w:val="left"/>
        <w:rPr>
          <w:sz w:val="28"/>
        </w:rPr>
      </w:pPr>
      <w:r>
        <w:rPr>
          <w:sz w:val="28"/>
        </w:rPr>
        <w:t>Only Assign new members to panel if panel is</w:t>
      </w:r>
      <w:r>
        <w:rPr>
          <w:spacing w:val="-15"/>
          <w:sz w:val="28"/>
        </w:rPr>
        <w:t> </w:t>
      </w:r>
      <w:r>
        <w:rPr>
          <w:sz w:val="28"/>
        </w:rPr>
        <w:t>open.</w:t>
      </w:r>
    </w:p>
    <w:p>
      <w:pPr>
        <w:pStyle w:val="BodyText"/>
        <w:rPr>
          <w:sz w:val="28"/>
        </w:rPr>
      </w:pPr>
    </w:p>
    <w:p>
      <w:pPr>
        <w:pStyle w:val="BodyText"/>
        <w:spacing w:before="1"/>
        <w:rPr>
          <w:sz w:val="28"/>
        </w:rPr>
      </w:pPr>
    </w:p>
    <w:p>
      <w:pPr>
        <w:spacing w:before="0"/>
        <w:ind w:left="100" w:right="103" w:firstLine="0"/>
        <w:jc w:val="left"/>
        <w:rPr>
          <w:sz w:val="28"/>
        </w:rPr>
      </w:pPr>
      <w:r>
        <w:rPr>
          <w:sz w:val="28"/>
        </w:rPr>
        <w:t>It is POET Policy not to provide copies of contract outside the POET office due to the confidentiality of agreements.</w:t>
      </w:r>
    </w:p>
    <w:sectPr>
      <w:pgSz w:w="12240" w:h="15840"/>
      <w:pgMar w:header="0" w:footer="748" w:top="1400" w:bottom="94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71pt;margin-top:743.599976pt;width:338.8pt;height:13.05pt;mso-position-horizontal-relative:page;mso-position-vertical-relative:page;z-index:-251990016" type="#_x0000_t202" filled="false" stroked="false">
          <v:textbox inset="0,0,0,0">
            <w:txbxContent>
              <w:p>
                <w:pPr>
                  <w:spacing w:line="245" w:lineRule="exact" w:before="0"/>
                  <w:ind w:left="20" w:right="0" w:firstLine="0"/>
                  <w:jc w:val="left"/>
                  <w:rPr>
                    <w:sz w:val="22"/>
                  </w:rPr>
                </w:pPr>
                <w:r>
                  <w:rPr>
                    <w:sz w:val="22"/>
                  </w:rPr>
                  <w:t>C:\Users\akv0025\Desktop\Blue Essentials Contract Summary 092017.docx</w:t>
                </w:r>
              </w:p>
            </w:txbxContent>
          </v:textbox>
          <w10:wrap type="none"/>
        </v:shape>
      </w:pict>
    </w:r>
    <w:r>
      <w:rPr/>
      <w:pict>
        <v:shape style="position:absolute;margin-left:425.096954pt;margin-top:743.599976pt;width:51.4pt;height:13.05pt;mso-position-horizontal-relative:page;mso-position-vertical-relative:page;z-index:-251988992" type="#_x0000_t202" filled="false" stroked="false">
          <v:textbox inset="0,0,0,0">
            <w:txbxContent>
              <w:p>
                <w:pPr>
                  <w:spacing w:line="245" w:lineRule="exact" w:before="0"/>
                  <w:ind w:left="20" w:right="0" w:firstLine="0"/>
                  <w:jc w:val="left"/>
                  <w:rPr>
                    <w:sz w:val="22"/>
                  </w:rPr>
                </w:pPr>
                <w:r>
                  <w:rPr>
                    <w:sz w:val="22"/>
                  </w:rPr>
                  <w:t>Page </w:t>
                </w:r>
                <w:r>
                  <w:rPr/>
                  <w:fldChar w:fldCharType="begin"/>
                </w:r>
                <w:r>
                  <w:rPr>
                    <w:sz w:val="22"/>
                  </w:rPr>
                  <w:instrText> PAGE </w:instrText>
                </w:r>
                <w:r>
                  <w:rPr/>
                  <w:fldChar w:fldCharType="separate"/>
                </w:r>
                <w:r>
                  <w:rPr/>
                  <w:t>1</w:t>
                </w:r>
                <w:r>
                  <w:rPr/>
                  <w:fldChar w:fldCharType="end"/>
                </w:r>
                <w:r>
                  <w:rPr>
                    <w:sz w:val="22"/>
                  </w:rPr>
                  <w:t> of 7</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540" w:hanging="360"/>
        <w:jc w:val="left"/>
      </w:pPr>
      <w:rPr>
        <w:rFonts w:hint="default"/>
        <w:spacing w:val="-4"/>
        <w:w w:val="100"/>
        <w:lang w:val="en-us" w:eastAsia="en-us" w:bidi="en-us"/>
      </w:rPr>
    </w:lvl>
    <w:lvl w:ilvl="1">
      <w:start w:val="1"/>
      <w:numFmt w:val="decimal"/>
      <w:lvlText w:val="(%2)"/>
      <w:lvlJc w:val="left"/>
      <w:pPr>
        <w:ind w:left="1861" w:hanging="322"/>
        <w:jc w:val="left"/>
      </w:pPr>
      <w:rPr>
        <w:rFonts w:hint="default" w:ascii="Calibri" w:hAnsi="Calibri" w:eastAsia="Calibri" w:cs="Calibri"/>
        <w:spacing w:val="-2"/>
        <w:w w:val="100"/>
        <w:sz w:val="24"/>
        <w:szCs w:val="24"/>
        <w:lang w:val="en-us" w:eastAsia="en-us" w:bidi="en-us"/>
      </w:rPr>
    </w:lvl>
    <w:lvl w:ilvl="2">
      <w:start w:val="0"/>
      <w:numFmt w:val="bullet"/>
      <w:lvlText w:val="•"/>
      <w:lvlJc w:val="left"/>
      <w:pPr>
        <w:ind w:left="2715" w:hanging="322"/>
      </w:pPr>
      <w:rPr>
        <w:rFonts w:hint="default"/>
        <w:lang w:val="en-us" w:eastAsia="en-us" w:bidi="en-us"/>
      </w:rPr>
    </w:lvl>
    <w:lvl w:ilvl="3">
      <w:start w:val="0"/>
      <w:numFmt w:val="bullet"/>
      <w:lvlText w:val="•"/>
      <w:lvlJc w:val="left"/>
      <w:pPr>
        <w:ind w:left="3571" w:hanging="322"/>
      </w:pPr>
      <w:rPr>
        <w:rFonts w:hint="default"/>
        <w:lang w:val="en-us" w:eastAsia="en-us" w:bidi="en-us"/>
      </w:rPr>
    </w:lvl>
    <w:lvl w:ilvl="4">
      <w:start w:val="0"/>
      <w:numFmt w:val="bullet"/>
      <w:lvlText w:val="•"/>
      <w:lvlJc w:val="left"/>
      <w:pPr>
        <w:ind w:left="4426" w:hanging="322"/>
      </w:pPr>
      <w:rPr>
        <w:rFonts w:hint="default"/>
        <w:lang w:val="en-us" w:eastAsia="en-us" w:bidi="en-us"/>
      </w:rPr>
    </w:lvl>
    <w:lvl w:ilvl="5">
      <w:start w:val="0"/>
      <w:numFmt w:val="bullet"/>
      <w:lvlText w:val="•"/>
      <w:lvlJc w:val="left"/>
      <w:pPr>
        <w:ind w:left="5282" w:hanging="322"/>
      </w:pPr>
      <w:rPr>
        <w:rFonts w:hint="default"/>
        <w:lang w:val="en-us" w:eastAsia="en-us" w:bidi="en-us"/>
      </w:rPr>
    </w:lvl>
    <w:lvl w:ilvl="6">
      <w:start w:val="0"/>
      <w:numFmt w:val="bullet"/>
      <w:lvlText w:val="•"/>
      <w:lvlJc w:val="left"/>
      <w:pPr>
        <w:ind w:left="6137" w:hanging="322"/>
      </w:pPr>
      <w:rPr>
        <w:rFonts w:hint="default"/>
        <w:lang w:val="en-us" w:eastAsia="en-us" w:bidi="en-us"/>
      </w:rPr>
    </w:lvl>
    <w:lvl w:ilvl="7">
      <w:start w:val="0"/>
      <w:numFmt w:val="bullet"/>
      <w:lvlText w:val="•"/>
      <w:lvlJc w:val="left"/>
      <w:pPr>
        <w:ind w:left="6993" w:hanging="322"/>
      </w:pPr>
      <w:rPr>
        <w:rFonts w:hint="default"/>
        <w:lang w:val="en-us" w:eastAsia="en-us" w:bidi="en-us"/>
      </w:rPr>
    </w:lvl>
    <w:lvl w:ilvl="8">
      <w:start w:val="0"/>
      <w:numFmt w:val="bullet"/>
      <w:lvlText w:val="•"/>
      <w:lvlJc w:val="left"/>
      <w:pPr>
        <w:ind w:left="7848" w:hanging="322"/>
      </w:pPr>
      <w:rPr>
        <w:rFonts w:hint="default"/>
        <w:lang w:val="en-us" w:eastAsia="en-us" w:bidi="en-us"/>
      </w:rPr>
    </w:lvl>
  </w:abstractNum>
  <w:abstractNum w:abstractNumId="1">
    <w:multiLevelType w:val="hybridMultilevel"/>
    <w:lvl w:ilvl="0">
      <w:start w:val="1"/>
      <w:numFmt w:val="decimal"/>
      <w:lvlText w:val="%1)"/>
      <w:lvlJc w:val="left"/>
      <w:pPr>
        <w:ind w:left="1180" w:hanging="360"/>
        <w:jc w:val="left"/>
      </w:pPr>
      <w:rPr>
        <w:rFonts w:hint="default" w:ascii="Calibri" w:hAnsi="Calibri" w:eastAsia="Calibri" w:cs="Calibri"/>
        <w:spacing w:val="-3"/>
        <w:w w:val="100"/>
        <w:sz w:val="24"/>
        <w:szCs w:val="24"/>
        <w:lang w:val="en-us" w:eastAsia="en-us" w:bidi="en-us"/>
      </w:rPr>
    </w:lvl>
    <w:lvl w:ilvl="1">
      <w:start w:val="0"/>
      <w:numFmt w:val="bullet"/>
      <w:lvlText w:val="•"/>
      <w:lvlJc w:val="left"/>
      <w:pPr>
        <w:ind w:left="2018" w:hanging="360"/>
      </w:pPr>
      <w:rPr>
        <w:rFonts w:hint="default"/>
        <w:lang w:val="en-us" w:eastAsia="en-us" w:bidi="en-us"/>
      </w:rPr>
    </w:lvl>
    <w:lvl w:ilvl="2">
      <w:start w:val="0"/>
      <w:numFmt w:val="bullet"/>
      <w:lvlText w:val="•"/>
      <w:lvlJc w:val="left"/>
      <w:pPr>
        <w:ind w:left="2856" w:hanging="360"/>
      </w:pPr>
      <w:rPr>
        <w:rFonts w:hint="default"/>
        <w:lang w:val="en-us" w:eastAsia="en-us" w:bidi="en-us"/>
      </w:rPr>
    </w:lvl>
    <w:lvl w:ilvl="3">
      <w:start w:val="0"/>
      <w:numFmt w:val="bullet"/>
      <w:lvlText w:val="•"/>
      <w:lvlJc w:val="left"/>
      <w:pPr>
        <w:ind w:left="3694" w:hanging="360"/>
      </w:pPr>
      <w:rPr>
        <w:rFonts w:hint="default"/>
        <w:lang w:val="en-us" w:eastAsia="en-us" w:bidi="en-us"/>
      </w:rPr>
    </w:lvl>
    <w:lvl w:ilvl="4">
      <w:start w:val="0"/>
      <w:numFmt w:val="bullet"/>
      <w:lvlText w:val="•"/>
      <w:lvlJc w:val="left"/>
      <w:pPr>
        <w:ind w:left="4532" w:hanging="360"/>
      </w:pPr>
      <w:rPr>
        <w:rFonts w:hint="default"/>
        <w:lang w:val="en-us" w:eastAsia="en-us" w:bidi="en-us"/>
      </w:rPr>
    </w:lvl>
    <w:lvl w:ilvl="5">
      <w:start w:val="0"/>
      <w:numFmt w:val="bullet"/>
      <w:lvlText w:val="•"/>
      <w:lvlJc w:val="left"/>
      <w:pPr>
        <w:ind w:left="5370" w:hanging="360"/>
      </w:pPr>
      <w:rPr>
        <w:rFonts w:hint="default"/>
        <w:lang w:val="en-us" w:eastAsia="en-us" w:bidi="en-us"/>
      </w:rPr>
    </w:lvl>
    <w:lvl w:ilvl="6">
      <w:start w:val="0"/>
      <w:numFmt w:val="bullet"/>
      <w:lvlText w:val="•"/>
      <w:lvlJc w:val="left"/>
      <w:pPr>
        <w:ind w:left="6208" w:hanging="360"/>
      </w:pPr>
      <w:rPr>
        <w:rFonts w:hint="default"/>
        <w:lang w:val="en-us" w:eastAsia="en-us" w:bidi="en-us"/>
      </w:rPr>
    </w:lvl>
    <w:lvl w:ilvl="7">
      <w:start w:val="0"/>
      <w:numFmt w:val="bullet"/>
      <w:lvlText w:val="•"/>
      <w:lvlJc w:val="left"/>
      <w:pPr>
        <w:ind w:left="7046" w:hanging="360"/>
      </w:pPr>
      <w:rPr>
        <w:rFonts w:hint="default"/>
        <w:lang w:val="en-us" w:eastAsia="en-us" w:bidi="en-us"/>
      </w:rPr>
    </w:lvl>
    <w:lvl w:ilvl="8">
      <w:start w:val="0"/>
      <w:numFmt w:val="bullet"/>
      <w:lvlText w:val="•"/>
      <w:lvlJc w:val="left"/>
      <w:pPr>
        <w:ind w:left="7884" w:hanging="360"/>
      </w:pPr>
      <w:rPr>
        <w:rFonts w:hint="default"/>
        <w:lang w:val="en-us" w:eastAsia="en-us" w:bidi="en-us"/>
      </w:rPr>
    </w:lvl>
  </w:abstractNum>
  <w:abstractNum w:abstractNumId="0">
    <w:multiLevelType w:val="hybridMultilevel"/>
    <w:lvl w:ilvl="0">
      <w:start w:val="1"/>
      <w:numFmt w:val="upperRoman"/>
      <w:lvlText w:val="%1."/>
      <w:lvlJc w:val="left"/>
      <w:pPr>
        <w:ind w:left="819" w:hanging="720"/>
        <w:jc w:val="left"/>
      </w:pPr>
      <w:rPr>
        <w:rFonts w:hint="default"/>
        <w:spacing w:val="-2"/>
        <w:w w:val="100"/>
        <w:lang w:val="en-us" w:eastAsia="en-us" w:bidi="en-us"/>
      </w:rPr>
    </w:lvl>
    <w:lvl w:ilvl="1">
      <w:start w:val="1"/>
      <w:numFmt w:val="upperLetter"/>
      <w:lvlText w:val="%2."/>
      <w:lvlJc w:val="left"/>
      <w:pPr>
        <w:ind w:left="1540" w:hanging="360"/>
        <w:jc w:val="left"/>
      </w:pPr>
      <w:rPr>
        <w:rFonts w:hint="default"/>
        <w:w w:val="100"/>
        <w:lang w:val="en-us" w:eastAsia="en-us" w:bidi="en-us"/>
      </w:rPr>
    </w:lvl>
    <w:lvl w:ilvl="2">
      <w:start w:val="1"/>
      <w:numFmt w:val="decimal"/>
      <w:lvlText w:val="%3)"/>
      <w:lvlJc w:val="left"/>
      <w:pPr>
        <w:ind w:left="1467" w:hanging="360"/>
        <w:jc w:val="left"/>
      </w:pPr>
      <w:rPr>
        <w:rFonts w:hint="default"/>
        <w:spacing w:val="-1"/>
        <w:w w:val="100"/>
        <w:lang w:val="en-us" w:eastAsia="en-us" w:bidi="en-us"/>
      </w:rPr>
    </w:lvl>
    <w:lvl w:ilvl="3">
      <w:start w:val="0"/>
      <w:numFmt w:val="bullet"/>
      <w:lvlText w:val="•"/>
      <w:lvlJc w:val="left"/>
      <w:pPr>
        <w:ind w:left="1540" w:hanging="360"/>
      </w:pPr>
      <w:rPr>
        <w:rFonts w:hint="default"/>
        <w:lang w:val="en-us" w:eastAsia="en-us" w:bidi="en-us"/>
      </w:rPr>
    </w:lvl>
    <w:lvl w:ilvl="4">
      <w:start w:val="0"/>
      <w:numFmt w:val="bullet"/>
      <w:lvlText w:val="•"/>
      <w:lvlJc w:val="left"/>
      <w:pPr>
        <w:ind w:left="1960" w:hanging="360"/>
      </w:pPr>
      <w:rPr>
        <w:rFonts w:hint="default"/>
        <w:lang w:val="en-us" w:eastAsia="en-us" w:bidi="en-us"/>
      </w:rPr>
    </w:lvl>
    <w:lvl w:ilvl="5">
      <w:start w:val="0"/>
      <w:numFmt w:val="bullet"/>
      <w:lvlText w:val="•"/>
      <w:lvlJc w:val="left"/>
      <w:pPr>
        <w:ind w:left="3226" w:hanging="360"/>
      </w:pPr>
      <w:rPr>
        <w:rFonts w:hint="default"/>
        <w:lang w:val="en-us" w:eastAsia="en-us" w:bidi="en-us"/>
      </w:rPr>
    </w:lvl>
    <w:lvl w:ilvl="6">
      <w:start w:val="0"/>
      <w:numFmt w:val="bullet"/>
      <w:lvlText w:val="•"/>
      <w:lvlJc w:val="left"/>
      <w:pPr>
        <w:ind w:left="4493" w:hanging="360"/>
      </w:pPr>
      <w:rPr>
        <w:rFonts w:hint="default"/>
        <w:lang w:val="en-us" w:eastAsia="en-us" w:bidi="en-us"/>
      </w:rPr>
    </w:lvl>
    <w:lvl w:ilvl="7">
      <w:start w:val="0"/>
      <w:numFmt w:val="bullet"/>
      <w:lvlText w:val="•"/>
      <w:lvlJc w:val="left"/>
      <w:pPr>
        <w:ind w:left="5760" w:hanging="360"/>
      </w:pPr>
      <w:rPr>
        <w:rFonts w:hint="default"/>
        <w:lang w:val="en-us" w:eastAsia="en-us" w:bidi="en-us"/>
      </w:rPr>
    </w:lvl>
    <w:lvl w:ilvl="8">
      <w:start w:val="0"/>
      <w:numFmt w:val="bullet"/>
      <w:lvlText w:val="•"/>
      <w:lvlJc w:val="left"/>
      <w:pPr>
        <w:ind w:left="7026" w:hanging="360"/>
      </w:pPr>
      <w:rPr>
        <w:rFonts w:hint="default"/>
        <w:lang w:val="en-us" w:eastAsia="en-us" w:bidi="en-us"/>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BodyText" w:type="paragraph">
    <w:name w:val="Body Text"/>
    <w:basedOn w:val="Normal"/>
    <w:uiPriority w:val="1"/>
    <w:qFormat/>
    <w:pPr/>
    <w:rPr>
      <w:rFonts w:ascii="Calibri" w:hAnsi="Calibri" w:eastAsia="Calibri" w:cs="Calibri"/>
      <w:sz w:val="24"/>
      <w:szCs w:val="24"/>
      <w:lang w:val="en-us" w:eastAsia="en-us" w:bidi="en-us"/>
    </w:rPr>
  </w:style>
  <w:style w:styleId="Heading1" w:type="paragraph">
    <w:name w:val="Heading 1"/>
    <w:basedOn w:val="Normal"/>
    <w:uiPriority w:val="1"/>
    <w:qFormat/>
    <w:pPr>
      <w:ind w:left="819" w:hanging="720"/>
      <w:outlineLvl w:val="1"/>
    </w:pPr>
    <w:rPr>
      <w:rFonts w:ascii="Calibri" w:hAnsi="Calibri" w:eastAsia="Calibri" w:cs="Calibri"/>
      <w:b/>
      <w:bCs/>
      <w:sz w:val="28"/>
      <w:szCs w:val="28"/>
      <w:lang w:val="en-us" w:eastAsia="en-us" w:bidi="en-us"/>
    </w:rPr>
  </w:style>
  <w:style w:styleId="Heading2" w:type="paragraph">
    <w:name w:val="Heading 2"/>
    <w:basedOn w:val="Normal"/>
    <w:uiPriority w:val="1"/>
    <w:qFormat/>
    <w:pPr>
      <w:ind w:left="1179" w:hanging="360"/>
      <w:outlineLvl w:val="2"/>
    </w:pPr>
    <w:rPr>
      <w:rFonts w:ascii="Calibri" w:hAnsi="Calibri" w:eastAsia="Calibri" w:cs="Calibri"/>
      <w:sz w:val="28"/>
      <w:szCs w:val="28"/>
      <w:lang w:val="en-us" w:eastAsia="en-us" w:bidi="en-us"/>
    </w:rPr>
  </w:style>
  <w:style w:styleId="Heading3" w:type="paragraph">
    <w:name w:val="Heading 3"/>
    <w:basedOn w:val="Normal"/>
    <w:uiPriority w:val="1"/>
    <w:qFormat/>
    <w:pPr>
      <w:ind w:left="820"/>
      <w:outlineLvl w:val="3"/>
    </w:pPr>
    <w:rPr>
      <w:rFonts w:ascii="Calibri" w:hAnsi="Calibri" w:eastAsia="Calibri" w:cs="Calibri"/>
      <w:b/>
      <w:bCs/>
      <w:sz w:val="24"/>
      <w:szCs w:val="24"/>
      <w:lang w:val="en-us" w:eastAsia="en-us" w:bidi="en-us"/>
    </w:rPr>
  </w:style>
  <w:style w:styleId="ListParagraph" w:type="paragraph">
    <w:name w:val="List Paragraph"/>
    <w:basedOn w:val="Normal"/>
    <w:uiPriority w:val="1"/>
    <w:qFormat/>
    <w:pPr>
      <w:ind w:left="1180" w:hanging="360"/>
    </w:pPr>
    <w:rPr>
      <w:rFonts w:ascii="Calibri" w:hAnsi="Calibri" w:eastAsia="Calibri" w:cs="Calibri"/>
      <w:lang w:val="en-us" w:eastAsia="en-us" w:bidi="en-us"/>
    </w:rPr>
  </w:style>
  <w:style w:styleId="TableParagraph" w:type="paragraph">
    <w:name w:val="Table Paragraph"/>
    <w:basedOn w:val="Normal"/>
    <w:uiPriority w:val="1"/>
    <w:qFormat/>
    <w:pPr>
      <w:spacing w:line="271" w:lineRule="exact"/>
      <w:ind w:left="200"/>
    </w:pPr>
    <w:rPr>
      <w:rFonts w:ascii="Calibri" w:hAnsi="Calibri" w:eastAsia="Calibri" w:cs="Calibri"/>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hyperlink" Target="mailto:Daphne_Lay@bcbstx.com" TargetMode="External"/><Relationship Id="rId8" Type="http://schemas.openxmlformats.org/officeDocument/2006/relationships/hyperlink" Target="http://www.bcbstx.com/provider/tools/" TargetMode="External"/><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hyperlink" Target="mailto:ConsumerProtection@tdi.texas.gov" TargetMode="External"/><Relationship Id="rId13" Type="http://schemas.openxmlformats.org/officeDocument/2006/relationships/hyperlink" Target="https://www.bcbstx.com/provider/pdf/prof_claims_121514.pdf" TargetMode="External"/><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POET</dc:creator>
  <dcterms:created xsi:type="dcterms:W3CDTF">2019-10-30T00:11:56Z</dcterms:created>
  <dcterms:modified xsi:type="dcterms:W3CDTF">2019-10-30T00:11:56Z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2018-03-21T00:00:00Z</vt:filetime>
  </property>
  <property fmtid="{D5CDD505-2E9C-101B-9397-08002B2CF9AE}" pid="3" name="Creator">
    <vt:lpwstr>Acrobat PDFMaker 11 for Word</vt:lpwstr>
  </property>
  <property fmtid="{D5CDD505-2E9C-101B-9397-08002B2CF9AE}" pid="4" name="LastSaved">
    <vt:filetime>2019-10-30T00:00:00Z</vt:filetime>
  </property>
</Properties>
</file>