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64"/>
        <w:ind w:left="1681" w:right="0" w:firstLine="0"/>
        <w:jc w:val="left"/>
        <w:rPr>
          <w:sz w:val="28"/>
        </w:rPr>
      </w:pPr>
      <w:r>
        <w:rPr>
          <w:b/>
          <w:color w:val="B30738"/>
          <w:sz w:val="36"/>
        </w:rPr>
        <w:t>Blue Cross Blue Shield BLUE ESSENTIALS Summary </w:t>
      </w:r>
      <w:r>
        <w:rPr>
          <w:color w:val="B30738"/>
          <w:sz w:val="28"/>
        </w:rPr>
        <w:t>(as of August 11, 2017)</w:t>
      </w:r>
    </w:p>
    <w:p>
      <w:pPr>
        <w:pStyle w:val="Heading2"/>
        <w:tabs>
          <w:tab w:pos="12685" w:val="left" w:leader="none"/>
        </w:tabs>
        <w:spacing w:before="245"/>
        <w:ind w:left="801"/>
      </w:pPr>
      <w:r>
        <w:rPr>
          <w:color w:val="231F20"/>
        </w:rPr>
        <w:t>The ERS product design and the respective networks are</w:t>
      </w:r>
      <w:r>
        <w:rPr>
          <w:color w:val="231F20"/>
          <w:spacing w:val="-13"/>
        </w:rPr>
        <w:t> </w:t>
      </w:r>
      <w:r>
        <w:rPr>
          <w:color w:val="231F20"/>
        </w:rPr>
        <w:t>described</w:t>
      </w:r>
      <w:r>
        <w:rPr>
          <w:color w:val="231F20"/>
          <w:spacing w:val="-1"/>
        </w:rPr>
        <w:t> </w:t>
      </w:r>
      <w:r>
        <w:rPr>
          <w:color w:val="231F20"/>
        </w:rPr>
        <w:t>below:</w:t>
        <w:tab/>
      </w:r>
      <w:r>
        <w:rPr>
          <w:color w:val="231F20"/>
          <w:u w:val="thick" w:color="231F20"/>
        </w:rPr>
        <w:t>MAP</w:t>
      </w:r>
    </w:p>
    <w:p>
      <w:pPr>
        <w:pStyle w:val="BodyText"/>
        <w:spacing w:line="271" w:lineRule="auto" w:before="110"/>
        <w:ind w:left="10700" w:right="277"/>
        <w:jc w:val="both"/>
      </w:pPr>
      <w:r>
        <w:rPr/>
        <w:drawing>
          <wp:anchor distT="0" distB="0" distL="0" distR="0" allowOverlap="1" layoutInCell="1" locked="0" behindDoc="0" simplePos="0" relativeHeight="251675648">
            <wp:simplePos x="0" y="0"/>
            <wp:positionH relativeFrom="page">
              <wp:posOffset>469803</wp:posOffset>
            </wp:positionH>
            <wp:positionV relativeFrom="paragraph">
              <wp:posOffset>138916</wp:posOffset>
            </wp:positionV>
            <wp:extent cx="6184448" cy="2561475"/>
            <wp:effectExtent l="0" t="0" r="0" b="0"/>
            <wp:wrapNone/>
            <wp:docPr id="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4448" cy="2561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BCBSTX has split the POET service area into two areas. These are the POET North Service Area and the POET South Service Area. Below is  </w:t>
      </w:r>
      <w:r>
        <w:rPr>
          <w:color w:val="231F20"/>
          <w:spacing w:val="-13"/>
        </w:rPr>
        <w:t>a </w:t>
      </w:r>
      <w:r>
        <w:rPr>
          <w:color w:val="231F20"/>
        </w:rPr>
        <w:t>map to show how the areas are divided. The area determines which fee schedule is</w:t>
      </w:r>
      <w:r>
        <w:rPr>
          <w:color w:val="231F20"/>
          <w:spacing w:val="-9"/>
        </w:rPr>
        <w:t> </w:t>
      </w:r>
      <w:r>
        <w:rPr>
          <w:color w:val="231F20"/>
        </w:rPr>
        <w:t>effective.</w:t>
      </w:r>
    </w:p>
    <w:p>
      <w:pPr>
        <w:spacing w:before="171"/>
        <w:ind w:left="0" w:right="1676" w:firstLine="0"/>
        <w:jc w:val="right"/>
        <w:rPr>
          <w:b/>
          <w:sz w:val="24"/>
        </w:rPr>
      </w:pPr>
      <w:r>
        <w:rPr>
          <w:b/>
          <w:color w:val="231F20"/>
          <w:sz w:val="24"/>
          <w:u w:val="thick" w:color="231F20"/>
        </w:rPr>
        <w:t>EXPLANATION</w:t>
      </w:r>
    </w:p>
    <w:p>
      <w:pPr>
        <w:pStyle w:val="BodyText"/>
        <w:spacing w:line="271" w:lineRule="auto" w:before="112"/>
        <w:ind w:left="10700" w:right="277"/>
        <w:jc w:val="both"/>
      </w:pPr>
      <w:r>
        <w:rPr>
          <w:color w:val="231F20"/>
        </w:rPr>
        <w:t>Same BCBSTX contract is in effect for both areas but with a primary office differential for the fee schedule.</w:t>
      </w:r>
    </w:p>
    <w:p>
      <w:pPr>
        <w:pStyle w:val="BodyText"/>
        <w:ind w:left="10870"/>
      </w:pPr>
      <w:r>
        <w:rPr/>
        <w:pict>
          <v:group style="width:212.9pt;height:192pt;mso-position-horizontal-relative:char;mso-position-vertical-relative:line" coordorigin="0,0" coordsize="4258,3840">
            <v:shape style="position:absolute;left:0;top:0;width:4258;height:3840" type="#_x0000_t75" stroked="false">
              <v:imagedata r:id="rId7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2723;top:343;width:498;height:204" type="#_x0000_t202" filled="false" stroked="false">
              <v:textbox inset="0,0,0,0">
                <w:txbxContent>
                  <w:p>
                    <w:pPr>
                      <w:spacing w:line="204" w:lineRule="exact" w:before="0"/>
                      <w:ind w:left="0" w:right="0" w:firstLine="0"/>
                      <w:jc w:val="left"/>
                      <w:rPr>
                        <w:rFonts w:ascii="Calibri"/>
                        <w:sz w:val="17"/>
                      </w:rPr>
                    </w:pPr>
                    <w:r>
                      <w:rPr>
                        <w:rFonts w:ascii="Calibri"/>
                        <w:color w:val="FFFFFF"/>
                        <w:w w:val="105"/>
                        <w:sz w:val="17"/>
                      </w:rPr>
                      <w:t>Shelby</w:t>
                    </w:r>
                  </w:p>
                </w:txbxContent>
              </v:textbox>
              <w10:wrap type="none"/>
            </v:shape>
            <v:shape style="position:absolute;left:1590;top:744;width:986;height:204" type="#_x0000_t202" filled="false" stroked="false">
              <v:textbox inset="0,0,0,0">
                <w:txbxContent>
                  <w:p>
                    <w:pPr>
                      <w:spacing w:line="204" w:lineRule="exact" w:before="0"/>
                      <w:ind w:left="0" w:right="0" w:firstLine="0"/>
                      <w:jc w:val="left"/>
                      <w:rPr>
                        <w:rFonts w:ascii="Calibri"/>
                        <w:sz w:val="17"/>
                      </w:rPr>
                    </w:pPr>
                    <w:r>
                      <w:rPr>
                        <w:rFonts w:ascii="Calibri"/>
                        <w:color w:val="FFFFFF"/>
                        <w:w w:val="105"/>
                        <w:sz w:val="17"/>
                      </w:rPr>
                      <w:t>Nacogdoches</w:t>
                    </w:r>
                  </w:p>
                </w:txbxContent>
              </v:textbox>
              <w10:wrap type="none"/>
            </v:shape>
            <v:shape style="position:absolute;left:434;top:1442;width:626;height:204" type="#_x0000_t202" filled="false" stroked="false">
              <v:textbox inset="0,0,0,0">
                <w:txbxContent>
                  <w:p>
                    <w:pPr>
                      <w:spacing w:line="204" w:lineRule="exact" w:before="0"/>
                      <w:ind w:left="0" w:right="0" w:firstLine="0"/>
                      <w:jc w:val="left"/>
                      <w:rPr>
                        <w:rFonts w:ascii="Calibri"/>
                        <w:sz w:val="17"/>
                      </w:rPr>
                    </w:pPr>
                    <w:r>
                      <w:rPr>
                        <w:rFonts w:ascii="Calibri"/>
                        <w:color w:val="FFFFFF"/>
                        <w:w w:val="105"/>
                        <w:sz w:val="17"/>
                      </w:rPr>
                      <w:t>Houston</w:t>
                    </w:r>
                  </w:p>
                </w:txbxContent>
              </v:textbox>
              <w10:wrap type="none"/>
            </v:shape>
            <v:shape style="position:absolute;left:2586;top:1150;width:1209;height:444" type="#_x0000_t202" filled="false" stroked="false">
              <v:textbox inset="0,0,0,0">
                <w:txbxContent>
                  <w:p>
                    <w:pPr>
                      <w:spacing w:line="207" w:lineRule="exact" w:before="0"/>
                      <w:ind w:left="0" w:right="0" w:firstLine="0"/>
                      <w:jc w:val="left"/>
                      <w:rPr>
                        <w:rFonts w:ascii="Calibri"/>
                        <w:sz w:val="17"/>
                      </w:rPr>
                    </w:pPr>
                    <w:r>
                      <w:rPr>
                        <w:rFonts w:ascii="Calibri"/>
                        <w:color w:val="FFFFFF"/>
                        <w:w w:val="105"/>
                        <w:sz w:val="17"/>
                      </w:rPr>
                      <w:t>Augustine</w:t>
                    </w:r>
                  </w:p>
                  <w:p>
                    <w:pPr>
                      <w:spacing w:line="204" w:lineRule="exact" w:before="32"/>
                      <w:ind w:left="707" w:right="0" w:firstLine="0"/>
                      <w:jc w:val="left"/>
                      <w:rPr>
                        <w:rFonts w:ascii="Calibri"/>
                        <w:sz w:val="17"/>
                      </w:rPr>
                    </w:pPr>
                    <w:r>
                      <w:rPr>
                        <w:rFonts w:ascii="Calibri"/>
                        <w:color w:val="FFFFFF"/>
                        <w:w w:val="105"/>
                        <w:sz w:val="17"/>
                      </w:rPr>
                      <w:t>Sabine</w:t>
                    </w:r>
                  </w:p>
                </w:txbxContent>
              </v:textbox>
              <w10:wrap type="none"/>
            </v:shape>
            <v:shape style="position:absolute;left:2819;top:1009;width:280;height:204" type="#_x0000_t202" filled="false" stroked="false">
              <v:textbox inset="0,0,0,0">
                <w:txbxContent>
                  <w:p>
                    <w:pPr>
                      <w:spacing w:line="204" w:lineRule="exact" w:before="0"/>
                      <w:ind w:left="0" w:right="0" w:firstLine="0"/>
                      <w:jc w:val="left"/>
                      <w:rPr>
                        <w:rFonts w:ascii="Calibri"/>
                        <w:sz w:val="17"/>
                      </w:rPr>
                    </w:pPr>
                    <w:r>
                      <w:rPr>
                        <w:rFonts w:ascii="Calibri"/>
                        <w:color w:val="FFFFFF"/>
                        <w:w w:val="105"/>
                        <w:sz w:val="17"/>
                      </w:rPr>
                      <w:t>San</w:t>
                    </w:r>
                  </w:p>
                </w:txbxContent>
              </v:textbox>
              <w10:wrap type="none"/>
            </v:shape>
            <v:shape style="position:absolute;left:1873;top:1558;width:652;height:204" type="#_x0000_t202" filled="false" stroked="false">
              <v:textbox inset="0,0,0,0">
                <w:txbxContent>
                  <w:p>
                    <w:pPr>
                      <w:spacing w:line="204" w:lineRule="exact" w:before="0"/>
                      <w:ind w:left="0" w:right="0" w:firstLine="0"/>
                      <w:jc w:val="left"/>
                      <w:rPr>
                        <w:rFonts w:ascii="Calibri"/>
                        <w:sz w:val="17"/>
                      </w:rPr>
                    </w:pPr>
                    <w:r>
                      <w:rPr>
                        <w:rFonts w:ascii="Calibri"/>
                        <w:color w:val="FFFFFF"/>
                        <w:w w:val="105"/>
                        <w:sz w:val="17"/>
                      </w:rPr>
                      <w:t>Angelina</w:t>
                    </w:r>
                  </w:p>
                </w:txbxContent>
              </v:textbox>
              <w10:wrap type="none"/>
            </v:shape>
            <v:shape style="position:absolute;left:1020;top:1914;width:464;height:204" type="#_x0000_t202" filled="false" stroked="false">
              <v:textbox inset="0,0,0,0">
                <w:txbxContent>
                  <w:p>
                    <w:pPr>
                      <w:spacing w:line="204" w:lineRule="exact" w:before="0"/>
                      <w:ind w:left="0" w:right="0" w:firstLine="0"/>
                      <w:jc w:val="left"/>
                      <w:rPr>
                        <w:rFonts w:ascii="Calibri"/>
                        <w:sz w:val="17"/>
                      </w:rPr>
                    </w:pPr>
                    <w:r>
                      <w:rPr>
                        <w:rFonts w:ascii="Calibri"/>
                        <w:color w:val="FFFFFF"/>
                        <w:sz w:val="17"/>
                      </w:rPr>
                      <w:t>Trinity</w:t>
                    </w:r>
                  </w:p>
                </w:txbxContent>
              </v:textbox>
              <w10:wrap type="none"/>
            </v:shape>
            <v:shape style="position:absolute;left:3564;top:1880;width:583;height:204" type="#_x0000_t202" filled="false" stroked="false">
              <v:textbox inset="0,0,0,0">
                <w:txbxContent>
                  <w:p>
                    <w:pPr>
                      <w:spacing w:line="204" w:lineRule="exact" w:before="0"/>
                      <w:ind w:left="0" w:right="0" w:firstLine="0"/>
                      <w:jc w:val="left"/>
                      <w:rPr>
                        <w:rFonts w:ascii="Calibri"/>
                        <w:sz w:val="17"/>
                      </w:rPr>
                    </w:pPr>
                    <w:r>
                      <w:rPr>
                        <w:rFonts w:ascii="Calibri"/>
                        <w:color w:val="231F20"/>
                        <w:sz w:val="17"/>
                      </w:rPr>
                      <w:t>Newton</w:t>
                    </w:r>
                  </w:p>
                </w:txbxContent>
              </v:textbox>
              <w10:wrap type="none"/>
            </v:shape>
            <v:shape style="position:absolute;left:3029;top:2218;width:468;height:204" type="#_x0000_t202" filled="false" stroked="false">
              <v:textbox inset="0,0,0,0">
                <w:txbxContent>
                  <w:p>
                    <w:pPr>
                      <w:spacing w:line="204" w:lineRule="exact" w:before="0"/>
                      <w:ind w:left="0" w:right="0" w:firstLine="0"/>
                      <w:jc w:val="left"/>
                      <w:rPr>
                        <w:rFonts w:ascii="Calibri"/>
                        <w:sz w:val="17"/>
                      </w:rPr>
                    </w:pPr>
                    <w:r>
                      <w:rPr>
                        <w:rFonts w:ascii="Calibri"/>
                        <w:color w:val="231F20"/>
                        <w:w w:val="105"/>
                        <w:sz w:val="17"/>
                      </w:rPr>
                      <w:t>Jasper</w:t>
                    </w:r>
                  </w:p>
                </w:txbxContent>
              </v:textbox>
              <w10:wrap type="none"/>
            </v:shape>
            <v:shape style="position:absolute;left:1649;top:2573;width:319;height:204" type="#_x0000_t202" filled="false" stroked="false">
              <v:textbox inset="0,0,0,0">
                <w:txbxContent>
                  <w:p>
                    <w:pPr>
                      <w:spacing w:line="204" w:lineRule="exact" w:before="0"/>
                      <w:ind w:left="0" w:right="0" w:firstLine="0"/>
                      <w:jc w:val="left"/>
                      <w:rPr>
                        <w:rFonts w:ascii="Calibri"/>
                        <w:sz w:val="17"/>
                      </w:rPr>
                    </w:pPr>
                    <w:r>
                      <w:rPr>
                        <w:rFonts w:ascii="Calibri"/>
                        <w:color w:val="231F20"/>
                        <w:w w:val="105"/>
                        <w:sz w:val="17"/>
                      </w:rPr>
                      <w:t>Polk</w:t>
                    </w:r>
                  </w:p>
                </w:txbxContent>
              </v:textbox>
              <w10:wrap type="none"/>
            </v:shape>
            <v:shape style="position:absolute;left:2478;top:2587;width:358;height:204" type="#_x0000_t202" filled="false" stroked="false">
              <v:textbox inset="0,0,0,0">
                <w:txbxContent>
                  <w:p>
                    <w:pPr>
                      <w:spacing w:line="204" w:lineRule="exact" w:before="0"/>
                      <w:ind w:left="0" w:right="0" w:firstLine="0"/>
                      <w:jc w:val="left"/>
                      <w:rPr>
                        <w:rFonts w:ascii="Calibri"/>
                        <w:sz w:val="17"/>
                      </w:rPr>
                    </w:pPr>
                    <w:r>
                      <w:rPr>
                        <w:rFonts w:ascii="Calibri"/>
                        <w:color w:val="231F20"/>
                        <w:sz w:val="17"/>
                      </w:rPr>
                      <w:t>Tyler</w:t>
                    </w:r>
                  </w:p>
                </w:txbxContent>
              </v:textbox>
              <w10:wrap type="none"/>
            </v:shape>
            <v:shape style="position:absolute;left:974;top:3146;width:522;height:204" type="#_x0000_t202" filled="false" stroked="false">
              <v:textbox inset="0,0,0,0">
                <w:txbxContent>
                  <w:p>
                    <w:pPr>
                      <w:spacing w:line="204" w:lineRule="exact" w:before="0"/>
                      <w:ind w:left="0" w:right="0" w:firstLine="0"/>
                      <w:jc w:val="left"/>
                      <w:rPr>
                        <w:rFonts w:ascii="Calibri"/>
                        <w:sz w:val="17"/>
                      </w:rPr>
                    </w:pPr>
                    <w:r>
                      <w:rPr>
                        <w:rFonts w:ascii="Calibri"/>
                        <w:color w:val="231F20"/>
                        <w:w w:val="105"/>
                        <w:sz w:val="17"/>
                      </w:rPr>
                      <w:t>Jacinto</w:t>
                    </w:r>
                  </w:p>
                </w:txbxContent>
              </v:textbox>
              <w10:wrap type="none"/>
            </v:shape>
            <v:shape style="position:absolute;left:1094;top:3005;width:280;height:204" type="#_x0000_t202" filled="false" stroked="false">
              <v:textbox inset="0,0,0,0">
                <w:txbxContent>
                  <w:p>
                    <w:pPr>
                      <w:spacing w:line="204" w:lineRule="exact" w:before="0"/>
                      <w:ind w:left="0" w:right="0" w:firstLine="0"/>
                      <w:jc w:val="left"/>
                      <w:rPr>
                        <w:rFonts w:ascii="Calibri"/>
                        <w:sz w:val="17"/>
                      </w:rPr>
                    </w:pPr>
                    <w:r>
                      <w:rPr>
                        <w:rFonts w:ascii="Calibri"/>
                        <w:color w:val="231F20"/>
                        <w:w w:val="105"/>
                        <w:sz w:val="17"/>
                      </w:rPr>
                      <w:t>San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pStyle w:val="BodyText"/>
        <w:spacing w:before="1"/>
        <w:rPr>
          <w:sz w:val="6"/>
        </w:rPr>
      </w:pPr>
    </w:p>
    <w:p>
      <w:pPr>
        <w:spacing w:after="0"/>
        <w:rPr>
          <w:sz w:val="6"/>
        </w:rPr>
        <w:sectPr>
          <w:footerReference w:type="default" r:id="rId5"/>
          <w:type w:val="continuous"/>
          <w:pgSz w:w="16560" w:h="12960" w:orient="landscape"/>
          <w:pgMar w:footer="962" w:top="580" w:bottom="1160" w:left="540" w:right="540"/>
        </w:sectPr>
      </w:pPr>
    </w:p>
    <w:p>
      <w:pPr>
        <w:pStyle w:val="BodyText"/>
        <w:rPr>
          <w:sz w:val="22"/>
        </w:rPr>
      </w:pPr>
      <w:r>
        <w:rPr/>
        <w:pict>
          <v:group style="position:absolute;margin-left:543.045410pt;margin-top:67.611298pt;width:3pt;height:514.65pt;mso-position-horizontal-relative:page;mso-position-vertical-relative:page;z-index:-251874304" coordorigin="10861,1352" coordsize="60,10293">
            <v:line style="position:absolute" from="10871,1352" to="10871,11645" stroked="true" strokeweight="1pt" strokecolor="#939598">
              <v:stroke dashstyle="solid"/>
            </v:line>
            <v:line style="position:absolute" from="10911,1352" to="10911,11645" stroked="true" strokeweight="1pt" strokecolor="#939598">
              <v:stroke dashstyle="solid"/>
            </v:line>
            <w10:wrap type="none"/>
          </v:group>
        </w:pic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30"/>
        </w:rPr>
      </w:pPr>
    </w:p>
    <w:p>
      <w:pPr>
        <w:pStyle w:val="BodyText"/>
        <w:spacing w:line="280" w:lineRule="atLeast"/>
        <w:ind w:left="2678" w:right="1684" w:hanging="388"/>
      </w:pPr>
      <w:r>
        <w:rPr/>
        <w:pict>
          <v:shape style="position:absolute;margin-left:36.5pt;margin-top:-244.850739pt;width:487.9pt;height:230.95pt;mso-position-horizontal-relative:page;mso-position-vertical-relative:paragraph;z-index:251676672" type="#_x0000_t202" filled="true" fillcolor="#f2f4e3" stroked="true" strokeweight="1pt" strokecolor="#231f20">
            <v:textbox inset="0,0,0,0">
              <w:txbxContent>
                <w:p>
                  <w:pPr>
                    <w:pStyle w:val="BodyText"/>
                    <w:spacing w:before="1"/>
                    <w:rPr>
                      <w:sz w:val="19"/>
                    </w:rPr>
                  </w:pPr>
                </w:p>
                <w:p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pos="523" w:val="left" w:leader="none"/>
                    </w:tabs>
                    <w:spacing w:line="249" w:lineRule="auto" w:before="0" w:after="0"/>
                    <w:ind w:left="250" w:right="260" w:firstLine="0"/>
                    <w:jc w:val="both"/>
                  </w:pPr>
                  <w:r>
                    <w:rPr>
                      <w:b/>
                      <w:color w:val="231F20"/>
                    </w:rPr>
                    <w:t>HealthSelect of </w:t>
                  </w:r>
                  <w:r>
                    <w:rPr>
                      <w:b/>
                      <w:color w:val="231F20"/>
                      <w:spacing w:val="-4"/>
                    </w:rPr>
                    <w:t>Texas </w:t>
                  </w:r>
                  <w:r>
                    <w:rPr>
                      <w:b/>
                      <w:color w:val="231F20"/>
                    </w:rPr>
                    <w:t>In-Area </w:t>
                  </w:r>
                  <w:r>
                    <w:rPr>
                      <w:color w:val="231F20"/>
                    </w:rPr>
                    <w:t>Blue Essentials is an HMO product with selection of PCP required. Referrals are required for services to be covered at the in-network benefit level. Member has out of network</w:t>
                  </w:r>
                  <w:r>
                    <w:rPr>
                      <w:color w:val="231F20"/>
                      <w:spacing w:val="-2"/>
                    </w:rPr>
                    <w:t> </w:t>
                  </w:r>
                  <w:r>
                    <w:rPr>
                      <w:color w:val="231F20"/>
                    </w:rPr>
                    <w:t>benefits.</w:t>
                  </w:r>
                </w:p>
                <w:p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pos="516" w:val="left" w:leader="none"/>
                    </w:tabs>
                    <w:spacing w:line="249" w:lineRule="auto" w:before="92" w:after="0"/>
                    <w:ind w:left="250" w:right="261" w:firstLine="0"/>
                    <w:jc w:val="both"/>
                  </w:pPr>
                  <w:r>
                    <w:rPr>
                      <w:b/>
                      <w:color w:val="231F20"/>
                    </w:rPr>
                    <w:t>Consumer Directed HealthSelect In-Area </w:t>
                  </w:r>
                  <w:r>
                    <w:rPr>
                      <w:color w:val="231F20"/>
                    </w:rPr>
                    <w:t>Blue Essentials may be referred to as HMO+. This plan does not require PCP selection and does not require referrals. In network providers for highest level of benefits. Member has out of network</w:t>
                  </w:r>
                  <w:r>
                    <w:rPr>
                      <w:color w:val="231F20"/>
                      <w:spacing w:val="-6"/>
                    </w:rPr>
                    <w:t> </w:t>
                  </w:r>
                  <w:r>
                    <w:rPr>
                      <w:color w:val="231F20"/>
                    </w:rPr>
                    <w:t>benefits.</w:t>
                  </w:r>
                </w:p>
                <w:p>
                  <w:pPr>
                    <w:spacing w:before="183"/>
                    <w:ind w:left="3477" w:right="3485" w:firstLine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231F20"/>
                      <w:sz w:val="20"/>
                    </w:rPr>
                    <w:t>OUT OF STATE</w:t>
                  </w:r>
                </w:p>
                <w:p>
                  <w:pPr>
                    <w:pStyle w:val="BodyText"/>
                    <w:spacing w:line="249" w:lineRule="auto" w:before="100"/>
                    <w:ind w:left="250"/>
                  </w:pPr>
                  <w:r>
                    <w:rPr>
                      <w:color w:val="231F20"/>
                    </w:rPr>
                    <w:t>Coverage for out of state members. They must live out of state. (i.e. dependents, students) Will have suitcase logo on card. Both plans have out of network benefits.</w:t>
                  </w:r>
                </w:p>
                <w:p>
                  <w:pPr>
                    <w:numPr>
                      <w:ilvl w:val="0"/>
                      <w:numId w:val="2"/>
                    </w:numPr>
                    <w:tabs>
                      <w:tab w:pos="618" w:val="left" w:leader="none"/>
                    </w:tabs>
                    <w:spacing w:before="91"/>
                    <w:ind w:left="617" w:right="0" w:hanging="368"/>
                    <w:jc w:val="left"/>
                    <w:rPr>
                      <w:sz w:val="20"/>
                    </w:rPr>
                  </w:pPr>
                  <w:r>
                    <w:rPr>
                      <w:b/>
                      <w:color w:val="231F20"/>
                      <w:sz w:val="20"/>
                    </w:rPr>
                    <w:t>HealthSelect of </w:t>
                  </w:r>
                  <w:r>
                    <w:rPr>
                      <w:b/>
                      <w:color w:val="231F20"/>
                      <w:spacing w:val="-4"/>
                      <w:sz w:val="20"/>
                    </w:rPr>
                    <w:t>Texas </w:t>
                  </w:r>
                  <w:r>
                    <w:rPr>
                      <w:b/>
                      <w:color w:val="231F20"/>
                      <w:sz w:val="20"/>
                    </w:rPr>
                    <w:t>Out of State – </w:t>
                  </w:r>
                  <w:r>
                    <w:rPr>
                      <w:color w:val="231F20"/>
                      <w:sz w:val="20"/>
                    </w:rPr>
                    <w:t>No PCP</w:t>
                  </w:r>
                  <w:r>
                    <w:rPr>
                      <w:color w:val="231F20"/>
                      <w:spacing w:val="-5"/>
                      <w:sz w:val="20"/>
                    </w:rPr>
                    <w:t> </w:t>
                  </w:r>
                  <w:r>
                    <w:rPr>
                      <w:color w:val="231F20"/>
                      <w:sz w:val="20"/>
                    </w:rPr>
                    <w:t>required.</w:t>
                  </w:r>
                </w:p>
                <w:p>
                  <w:pPr>
                    <w:numPr>
                      <w:ilvl w:val="0"/>
                      <w:numId w:val="2"/>
                    </w:numPr>
                    <w:tabs>
                      <w:tab w:pos="662" w:val="left" w:leader="none"/>
                      <w:tab w:pos="663" w:val="left" w:leader="none"/>
                    </w:tabs>
                    <w:spacing w:before="100"/>
                    <w:ind w:left="662" w:right="0" w:hanging="413"/>
                    <w:jc w:val="left"/>
                    <w:rPr>
                      <w:sz w:val="20"/>
                    </w:rPr>
                  </w:pPr>
                  <w:r>
                    <w:rPr>
                      <w:b/>
                      <w:color w:val="231F20"/>
                      <w:sz w:val="20"/>
                    </w:rPr>
                    <w:t>Consumer Directed HealthSelect Out of State – </w:t>
                  </w:r>
                  <w:r>
                    <w:rPr>
                      <w:color w:val="231F20"/>
                      <w:sz w:val="20"/>
                    </w:rPr>
                    <w:t>No PCP</w:t>
                  </w:r>
                  <w:r>
                    <w:rPr>
                      <w:color w:val="231F20"/>
                      <w:spacing w:val="-11"/>
                      <w:sz w:val="20"/>
                    </w:rPr>
                    <w:t> </w:t>
                  </w:r>
                  <w:r>
                    <w:rPr>
                      <w:color w:val="231F20"/>
                      <w:sz w:val="20"/>
                    </w:rPr>
                    <w:t>required.</w:t>
                  </w:r>
                </w:p>
                <w:p>
                  <w:pPr>
                    <w:spacing w:before="190"/>
                    <w:ind w:left="3477" w:right="3486" w:firstLine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231F20"/>
                      <w:sz w:val="20"/>
                    </w:rPr>
                    <w:t>SECONDARY TO MEDICARE</w:t>
                  </w:r>
                </w:p>
                <w:p>
                  <w:pPr>
                    <w:numPr>
                      <w:ilvl w:val="0"/>
                      <w:numId w:val="2"/>
                    </w:numPr>
                    <w:tabs>
                      <w:tab w:pos="580" w:val="left" w:leader="none"/>
                    </w:tabs>
                    <w:spacing w:line="249" w:lineRule="auto" w:before="100"/>
                    <w:ind w:left="250" w:right="260" w:firstLine="0"/>
                    <w:jc w:val="both"/>
                    <w:rPr>
                      <w:sz w:val="20"/>
                    </w:rPr>
                  </w:pPr>
                  <w:r>
                    <w:rPr>
                      <w:b/>
                      <w:color w:val="231F20"/>
                      <w:sz w:val="20"/>
                    </w:rPr>
                    <w:t>HealthSelect</w:t>
                  </w:r>
                  <w:r>
                    <w:rPr>
                      <w:b/>
                      <w:color w:val="231F20"/>
                      <w:spacing w:val="-15"/>
                      <w:sz w:val="20"/>
                    </w:rPr>
                    <w:t> </w:t>
                  </w:r>
                  <w:r>
                    <w:rPr>
                      <w:b/>
                      <w:color w:val="231F20"/>
                      <w:sz w:val="20"/>
                    </w:rPr>
                    <w:t>Secondary</w:t>
                  </w:r>
                  <w:r>
                    <w:rPr>
                      <w:b/>
                      <w:color w:val="231F20"/>
                      <w:spacing w:val="-14"/>
                      <w:sz w:val="20"/>
                    </w:rPr>
                    <w:t> </w:t>
                  </w:r>
                  <w:r>
                    <w:rPr>
                      <w:b/>
                      <w:color w:val="231F20"/>
                      <w:sz w:val="20"/>
                    </w:rPr>
                    <w:t>65+</w:t>
                  </w:r>
                  <w:r>
                    <w:rPr>
                      <w:b/>
                      <w:color w:val="231F20"/>
                      <w:spacing w:val="-15"/>
                      <w:sz w:val="20"/>
                    </w:rPr>
                    <w:t> </w:t>
                  </w:r>
                  <w:r>
                    <w:rPr>
                      <w:color w:val="231F20"/>
                      <w:sz w:val="20"/>
                    </w:rPr>
                    <w:t>Employees</w:t>
                  </w:r>
                  <w:r>
                    <w:rPr>
                      <w:color w:val="231F20"/>
                      <w:spacing w:val="-14"/>
                      <w:sz w:val="20"/>
                    </w:rPr>
                    <w:t> </w:t>
                  </w:r>
                  <w:r>
                    <w:rPr>
                      <w:color w:val="231F20"/>
                      <w:sz w:val="20"/>
                    </w:rPr>
                    <w:t>eligible</w:t>
                  </w:r>
                  <w:r>
                    <w:rPr>
                      <w:color w:val="231F20"/>
                      <w:spacing w:val="-15"/>
                      <w:sz w:val="20"/>
                    </w:rPr>
                    <w:t> </w:t>
                  </w:r>
                  <w:r>
                    <w:rPr>
                      <w:color w:val="231F20"/>
                      <w:sz w:val="20"/>
                    </w:rPr>
                    <w:t>for</w:t>
                  </w:r>
                  <w:r>
                    <w:rPr>
                      <w:color w:val="231F20"/>
                      <w:spacing w:val="-14"/>
                      <w:sz w:val="20"/>
                    </w:rPr>
                    <w:t> </w:t>
                  </w:r>
                  <w:r>
                    <w:rPr>
                      <w:color w:val="231F20"/>
                      <w:sz w:val="20"/>
                    </w:rPr>
                    <w:t>Medicare</w:t>
                  </w:r>
                  <w:r>
                    <w:rPr>
                      <w:color w:val="231F20"/>
                      <w:spacing w:val="-15"/>
                      <w:sz w:val="20"/>
                    </w:rPr>
                    <w:t> </w:t>
                  </w:r>
                  <w:r>
                    <w:rPr>
                      <w:color w:val="231F20"/>
                      <w:sz w:val="20"/>
                    </w:rPr>
                    <w:t>as</w:t>
                  </w:r>
                  <w:r>
                    <w:rPr>
                      <w:color w:val="231F20"/>
                      <w:spacing w:val="-14"/>
                      <w:sz w:val="20"/>
                    </w:rPr>
                    <w:t> </w:t>
                  </w:r>
                  <w:r>
                    <w:rPr>
                      <w:color w:val="231F20"/>
                      <w:spacing w:val="-3"/>
                      <w:sz w:val="20"/>
                    </w:rPr>
                    <w:t>primary.</w:t>
                  </w:r>
                  <w:r>
                    <w:rPr>
                      <w:color w:val="231F20"/>
                      <w:spacing w:val="-14"/>
                      <w:sz w:val="20"/>
                    </w:rPr>
                    <w:t> </w:t>
                  </w:r>
                  <w:r>
                    <w:rPr>
                      <w:color w:val="231F20"/>
                      <w:sz w:val="20"/>
                    </w:rPr>
                    <w:t>No</w:t>
                  </w:r>
                  <w:r>
                    <w:rPr>
                      <w:color w:val="231F20"/>
                      <w:spacing w:val="-15"/>
                      <w:sz w:val="20"/>
                    </w:rPr>
                    <w:t> </w:t>
                  </w:r>
                  <w:r>
                    <w:rPr>
                      <w:color w:val="231F20"/>
                      <w:sz w:val="20"/>
                    </w:rPr>
                    <w:t>PCP</w:t>
                  </w:r>
                  <w:r>
                    <w:rPr>
                      <w:color w:val="231F20"/>
                      <w:spacing w:val="-17"/>
                      <w:sz w:val="20"/>
                    </w:rPr>
                    <w:t> </w:t>
                  </w:r>
                  <w:r>
                    <w:rPr>
                      <w:color w:val="231F20"/>
                      <w:sz w:val="20"/>
                    </w:rPr>
                    <w:t>required.</w:t>
                  </w:r>
                  <w:r>
                    <w:rPr>
                      <w:color w:val="231F20"/>
                      <w:spacing w:val="27"/>
                      <w:sz w:val="20"/>
                    </w:rPr>
                    <w:t> </w:t>
                  </w:r>
                  <w:r>
                    <w:rPr>
                      <w:color w:val="231F20"/>
                      <w:sz w:val="20"/>
                    </w:rPr>
                    <w:t>Member has out of network</w:t>
                  </w:r>
                  <w:r>
                    <w:rPr>
                      <w:color w:val="231F20"/>
                      <w:spacing w:val="-5"/>
                      <w:sz w:val="20"/>
                    </w:rPr>
                    <w:t> </w:t>
                  </w:r>
                  <w:r>
                    <w:rPr>
                      <w:color w:val="231F20"/>
                      <w:sz w:val="20"/>
                    </w:rPr>
                    <w:t>benefits.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>
          <w:color w:val="231F20"/>
        </w:rPr>
        <w:t>As always please call POET with any questions you may have. (936) 637-7638 or email at </w:t>
      </w:r>
      <w:hyperlink r:id="rId8">
        <w:r>
          <w:rPr>
            <w:color w:val="231F20"/>
          </w:rPr>
          <w:t>staf</w:t>
        </w:r>
      </w:hyperlink>
      <w:hyperlink r:id="rId9">
        <w:r>
          <w:rPr>
            <w:color w:val="231F20"/>
          </w:rPr>
          <w:t>fadvocate@poetllc.org.</w:t>
        </w:r>
      </w:hyperlink>
    </w:p>
    <w:p>
      <w:pPr>
        <w:spacing w:line="312" w:lineRule="auto" w:before="68"/>
        <w:ind w:left="930" w:right="1801" w:firstLine="0"/>
        <w:jc w:val="left"/>
        <w:rPr>
          <w:sz w:val="16"/>
        </w:rPr>
      </w:pPr>
      <w:r>
        <w:rPr/>
        <w:br w:type="column"/>
      </w:r>
      <w:r>
        <w:rPr>
          <w:color w:val="231F20"/>
          <w:sz w:val="16"/>
        </w:rPr>
        <w:t>POET North Service Area POET South Service Area</w:t>
      </w:r>
    </w:p>
    <w:p>
      <w:pPr>
        <w:spacing w:before="158"/>
        <w:ind w:left="1692" w:right="1673" w:firstLine="0"/>
        <w:jc w:val="center"/>
        <w:rPr>
          <w:b/>
          <w:sz w:val="24"/>
        </w:rPr>
      </w:pPr>
      <w:r>
        <w:rPr/>
        <w:pict>
          <v:group style="position:absolute;margin-left:580.517517pt;margin-top:-23.627245pt;width:7.2pt;height:7.2pt;mso-position-horizontal-relative:page;mso-position-vertical-relative:paragraph;z-index:251672576" coordorigin="11610,-473" coordsize="144,144">
            <v:rect style="position:absolute;left:11617;top:-466;width:131;height:131" filled="true" fillcolor="#f48320" stroked="false">
              <v:fill type="solid"/>
            </v:rect>
            <v:rect style="position:absolute;left:11617;top:-466;width:131;height:131" filled="false" stroked="true" strokeweight=".689pt" strokecolor="#231f20">
              <v:stroke dashstyle="solid"/>
            </v:rect>
            <w10:wrap type="none"/>
          </v:group>
        </w:pict>
      </w:r>
      <w:r>
        <w:rPr/>
        <w:pict>
          <v:group style="position:absolute;margin-left:580.517517pt;margin-top:-11.627245pt;width:7.2pt;height:7.2pt;mso-position-horizontal-relative:page;mso-position-vertical-relative:paragraph;z-index:251673600" coordorigin="11610,-233" coordsize="144,144">
            <v:rect style="position:absolute;left:11617;top:-226;width:131;height:131" filled="true" fillcolor="#fcea00" stroked="false">
              <v:fill type="solid"/>
            </v:rect>
            <v:rect style="position:absolute;left:11617;top:-226;width:131;height:131" filled="false" stroked="true" strokeweight=".689pt" strokecolor="#231f20">
              <v:stroke dashstyle="solid"/>
            </v:rect>
            <w10:wrap type="none"/>
          </v:group>
        </w:pict>
      </w:r>
      <w:r>
        <w:rPr>
          <w:b/>
          <w:color w:val="231F20"/>
          <w:sz w:val="24"/>
          <w:u w:val="thick" w:color="231F20"/>
        </w:rPr>
        <w:t>POET NORTH</w:t>
      </w:r>
    </w:p>
    <w:p>
      <w:pPr>
        <w:pStyle w:val="BodyText"/>
        <w:spacing w:line="271" w:lineRule="auto" w:before="111"/>
        <w:ind w:left="199" w:right="176"/>
        <w:jc w:val="both"/>
      </w:pPr>
      <w:r>
        <w:rPr>
          <w:color w:val="231F20"/>
        </w:rPr>
        <w:t>If physician's primary office is located in "POET North" (Angelina, Houston, Nacogdoches, Sabine, San Augustine, Shelby or Trinity counties) </w:t>
      </w:r>
      <w:r>
        <w:rPr>
          <w:b/>
          <w:color w:val="231F20"/>
        </w:rPr>
        <w:t>current PPO Fee Schedule applies</w:t>
      </w:r>
      <w:r>
        <w:rPr>
          <w:color w:val="231F20"/>
        </w:rPr>
        <w:t>.</w:t>
      </w:r>
    </w:p>
    <w:p>
      <w:pPr>
        <w:spacing w:before="171"/>
        <w:ind w:left="1692" w:right="1673" w:firstLine="0"/>
        <w:jc w:val="center"/>
        <w:rPr>
          <w:b/>
          <w:sz w:val="24"/>
        </w:rPr>
      </w:pPr>
      <w:r>
        <w:rPr>
          <w:b/>
          <w:color w:val="231F20"/>
          <w:sz w:val="24"/>
          <w:u w:val="thick" w:color="231F20"/>
        </w:rPr>
        <w:t>POET SOUTH</w:t>
      </w:r>
    </w:p>
    <w:p>
      <w:pPr>
        <w:spacing w:line="271" w:lineRule="auto" w:before="112"/>
        <w:ind w:left="199" w:right="177" w:firstLine="0"/>
        <w:jc w:val="both"/>
        <w:rPr>
          <w:sz w:val="20"/>
        </w:rPr>
      </w:pPr>
      <w:r>
        <w:rPr>
          <w:color w:val="231F20"/>
          <w:sz w:val="20"/>
        </w:rPr>
        <w:t>If primary office is located in "POET South" (Jasper, Newton, Polk, San Jacinto or Tyler counties) a </w:t>
      </w:r>
      <w:r>
        <w:rPr>
          <w:b/>
          <w:color w:val="231F20"/>
          <w:sz w:val="20"/>
        </w:rPr>
        <w:t>new Fee Schedule for this product will be used</w:t>
      </w:r>
      <w:r>
        <w:rPr>
          <w:color w:val="231F20"/>
          <w:sz w:val="20"/>
        </w:rPr>
        <w:t>.</w:t>
      </w:r>
    </w:p>
    <w:p>
      <w:pPr>
        <w:spacing w:after="0" w:line="271" w:lineRule="auto"/>
        <w:jc w:val="both"/>
        <w:rPr>
          <w:sz w:val="20"/>
        </w:rPr>
        <w:sectPr>
          <w:type w:val="continuous"/>
          <w:pgSz w:w="16560" w:h="12960" w:orient="landscape"/>
          <w:pgMar w:top="580" w:bottom="1160" w:left="540" w:right="540"/>
          <w:cols w:num="2" w:equalWidth="0">
            <w:col w:w="9980" w:space="521"/>
            <w:col w:w="4979"/>
          </w:cols>
        </w:sectPr>
      </w:pPr>
    </w:p>
    <w:p>
      <w:pPr>
        <w:pStyle w:val="Heading1"/>
        <w:tabs>
          <w:tab w:pos="15365" w:val="left" w:leader="none"/>
        </w:tabs>
      </w:pPr>
      <w:r>
        <w:rPr>
          <w:color w:val="FFFFFF"/>
          <w:spacing w:val="-11"/>
          <w:shd w:fill="231F20" w:color="auto" w:val="clear"/>
        </w:rPr>
        <w:t> </w:t>
      </w:r>
      <w:r>
        <w:rPr>
          <w:color w:val="FFFFFF"/>
          <w:shd w:fill="231F20" w:color="auto" w:val="clear"/>
        </w:rPr>
        <w:t>ERS Sample ID</w:t>
      </w:r>
      <w:r>
        <w:rPr>
          <w:color w:val="FFFFFF"/>
          <w:spacing w:val="-4"/>
          <w:shd w:fill="231F20" w:color="auto" w:val="clear"/>
        </w:rPr>
        <w:t> </w:t>
      </w:r>
      <w:r>
        <w:rPr>
          <w:color w:val="FFFFFF"/>
          <w:shd w:fill="231F20" w:color="auto" w:val="clear"/>
        </w:rPr>
        <w:t>Cards</w:t>
        <w:tab/>
      </w:r>
    </w:p>
    <w:p>
      <w:pPr>
        <w:pStyle w:val="BodyText"/>
        <w:spacing w:before="6"/>
        <w:rPr>
          <w:b/>
          <w:sz w:val="23"/>
        </w:rPr>
      </w:pPr>
    </w:p>
    <w:p>
      <w:pPr>
        <w:pStyle w:val="Heading2"/>
        <w:tabs>
          <w:tab w:pos="8056" w:val="left" w:leader="none"/>
        </w:tabs>
      </w:pPr>
      <w:r>
        <w:rPr/>
        <w:pict>
          <v:shape style="position:absolute;margin-left:36pt;margin-top:22.487671pt;width:357.85pt;height:.1pt;mso-position-horizontal-relative:page;mso-position-vertical-relative:paragraph;z-index:-251638784;mso-wrap-distance-left:0;mso-wrap-distance-right:0" coordorigin="720,450" coordsize="7157,0" path="m720,450l7876,450e" filled="false" stroked="true" strokeweight="1pt" strokecolor="#231f2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9.839996pt;margin-top:22.487671pt;width:357.85pt;height:.1pt;mso-position-horizontal-relative:page;mso-position-vertical-relative:paragraph;z-index:-251637760;mso-wrap-distance-left:0;mso-wrap-distance-right:0" coordorigin="8597,450" coordsize="7157,0" path="m8597,450l15753,450e" filled="false" stroked="true" strokeweight="1pt" strokecolor="#231f20">
            <v:path arrowok="t"/>
            <v:stroke dashstyle="solid"/>
            <w10:wrap type="topAndBottom"/>
          </v:shape>
        </w:pict>
      </w:r>
      <w:r>
        <w:rPr>
          <w:color w:val="231F20"/>
        </w:rPr>
        <w:t>ERS HealthSelect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2"/>
        </w:rPr>
        <w:t> </w:t>
      </w:r>
      <w:r>
        <w:rPr>
          <w:color w:val="231F20"/>
          <w:spacing w:val="-5"/>
        </w:rPr>
        <w:t>Texas</w:t>
        <w:tab/>
      </w:r>
      <w:r>
        <w:rPr>
          <w:color w:val="231F20"/>
        </w:rPr>
        <w:t>ERS Consumer Directed HealthSelect</w:t>
      </w:r>
      <w:r>
        <w:rPr>
          <w:color w:val="231F20"/>
          <w:spacing w:val="-6"/>
        </w:rPr>
        <w:t> </w:t>
      </w:r>
      <w:r>
        <w:rPr>
          <w:color w:val="231F20"/>
        </w:rPr>
        <w:t>Out-of-State</w:t>
      </w:r>
    </w:p>
    <w:p>
      <w:pPr>
        <w:pStyle w:val="BodyText"/>
        <w:spacing w:before="2"/>
        <w:rPr>
          <w:b/>
          <w:sz w:val="6"/>
        </w:rPr>
      </w:pPr>
    </w:p>
    <w:p>
      <w:pPr>
        <w:spacing w:after="0"/>
        <w:rPr>
          <w:sz w:val="6"/>
        </w:rPr>
        <w:sectPr>
          <w:pgSz w:w="16560" w:h="12960" w:orient="landscape"/>
          <w:pgMar w:header="0" w:footer="962" w:top="680" w:bottom="1160" w:left="540" w:right="540"/>
        </w:sectPr>
      </w:pPr>
    </w:p>
    <w:p>
      <w:pPr>
        <w:pStyle w:val="Heading3"/>
      </w:pPr>
      <w:r>
        <w:rPr>
          <w:color w:val="B30738"/>
        </w:rPr>
        <w:t>FRONT</w:t>
      </w:r>
    </w:p>
    <w:p>
      <w:pPr>
        <w:spacing w:before="94"/>
        <w:ind w:left="733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B30738"/>
          <w:sz w:val="20"/>
        </w:rPr>
        <w:t>BACK</w:t>
      </w:r>
    </w:p>
    <w:p>
      <w:pPr>
        <w:spacing w:before="94"/>
        <w:ind w:left="733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B30738"/>
          <w:sz w:val="20"/>
        </w:rPr>
        <w:t>FRONT</w:t>
      </w:r>
    </w:p>
    <w:p>
      <w:pPr>
        <w:spacing w:before="94"/>
        <w:ind w:left="733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B30738"/>
          <w:sz w:val="20"/>
        </w:rPr>
        <w:t>BACK</w:t>
      </w:r>
    </w:p>
    <w:p>
      <w:pPr>
        <w:spacing w:after="0"/>
        <w:jc w:val="left"/>
        <w:rPr>
          <w:sz w:val="20"/>
        </w:rPr>
        <w:sectPr>
          <w:type w:val="continuous"/>
          <w:pgSz w:w="16560" w:h="12960" w:orient="landscape"/>
          <w:pgMar w:top="580" w:bottom="1160" w:left="540" w:right="540"/>
          <w:cols w:num="4" w:equalWidth="0">
            <w:col w:w="1463" w:space="2353"/>
            <w:col w:w="1352" w:space="2789"/>
            <w:col w:w="1463" w:space="2273"/>
            <w:col w:w="3787"/>
          </w:cols>
        </w:sectPr>
      </w:pPr>
    </w:p>
    <w:p>
      <w:pPr>
        <w:pStyle w:val="BodyText"/>
        <w:spacing w:before="9"/>
        <w:rPr>
          <w:b/>
          <w:sz w:val="10"/>
        </w:rPr>
      </w:pPr>
    </w:p>
    <w:p>
      <w:pPr>
        <w:pStyle w:val="BodyText"/>
        <w:tabs>
          <w:tab w:pos="4380" w:val="left" w:leader="none"/>
          <w:tab w:pos="7702" w:val="left" w:leader="none"/>
        </w:tabs>
        <w:ind w:left="161"/>
      </w:pPr>
      <w:r>
        <w:rPr>
          <w:position w:val="10"/>
        </w:rPr>
        <w:drawing>
          <wp:inline distT="0" distB="0" distL="0" distR="0">
            <wp:extent cx="2512123" cy="1173479"/>
            <wp:effectExtent l="0" t="0" r="0" b="0"/>
            <wp:docPr id="3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2123" cy="1173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0"/>
        </w:rPr>
      </w:r>
      <w:r>
        <w:rPr>
          <w:position w:val="10"/>
        </w:rPr>
        <w:tab/>
      </w:r>
      <w:r>
        <w:rPr/>
        <w:pict>
          <v:group style="width:138.7pt;height:93.85pt;mso-position-horizontal-relative:char;mso-position-vertical-relative:line" coordorigin="0,0" coordsize="2774,1877">
            <v:shape style="position:absolute;left:0;top:0;width:2774;height:1877" type="#_x0000_t75" stroked="false">
              <v:imagedata r:id="rId11" o:title=""/>
            </v:shape>
            <v:shape style="position:absolute;left:716;top:151;width:1589;height:378" type="#_x0000_t75" stroked="false">
              <v:imagedata r:id="rId12" o:title=""/>
            </v:shape>
          </v:group>
        </w:pict>
      </w:r>
      <w:r>
        <w:rPr/>
      </w:r>
      <w:r>
        <w:rPr/>
        <w:tab/>
      </w:r>
      <w:r>
        <w:rPr>
          <w:position w:val="2"/>
        </w:rPr>
        <w:drawing>
          <wp:inline distT="0" distB="0" distL="0" distR="0">
            <wp:extent cx="2813843" cy="1228725"/>
            <wp:effectExtent l="0" t="0" r="0" b="0"/>
            <wp:docPr id="5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7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3843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63"/>
          <w:position w:val="2"/>
        </w:rPr>
        <w:t> </w:t>
      </w:r>
      <w:r>
        <w:rPr>
          <w:spacing w:val="63"/>
          <w:position w:val="4"/>
        </w:rPr>
        <w:drawing>
          <wp:inline distT="0" distB="0" distL="0" distR="0">
            <wp:extent cx="1942918" cy="1149096"/>
            <wp:effectExtent l="0" t="0" r="0" b="0"/>
            <wp:docPr id="7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2918" cy="1149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3"/>
          <w:position w:val="4"/>
        </w:rPr>
      </w:r>
    </w:p>
    <w:p>
      <w:pPr>
        <w:pStyle w:val="BodyText"/>
        <w:rPr>
          <w:b/>
        </w:rPr>
      </w:pPr>
    </w:p>
    <w:p>
      <w:pPr>
        <w:pStyle w:val="BodyText"/>
        <w:spacing w:before="9"/>
        <w:rPr>
          <w:b/>
          <w:sz w:val="19"/>
        </w:rPr>
      </w:pPr>
    </w:p>
    <w:p>
      <w:pPr>
        <w:pStyle w:val="Heading2"/>
        <w:tabs>
          <w:tab w:pos="8056" w:val="left" w:leader="none"/>
        </w:tabs>
      </w:pPr>
      <w:r>
        <w:rPr/>
        <w:pict>
          <v:shape style="position:absolute;margin-left:36pt;margin-top:21.982668pt;width:357.85pt;height:.1pt;mso-position-horizontal-relative:page;mso-position-vertical-relative:paragraph;z-index:-251635712;mso-wrap-distance-left:0;mso-wrap-distance-right:0" coordorigin="720,440" coordsize="7157,0" path="m720,440l7876,440e" filled="false" stroked="true" strokeweight="1pt" strokecolor="#231f2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9.839996pt;margin-top:21.982668pt;width:357.85pt;height:.1pt;mso-position-horizontal-relative:page;mso-position-vertical-relative:paragraph;z-index:-251634688;mso-wrap-distance-left:0;mso-wrap-distance-right:0" coordorigin="8597,440" coordsize="7157,0" path="m8597,440l15753,440e" filled="false" stroked="true" strokeweight="1pt" strokecolor="#231f20">
            <v:path arrowok="t"/>
            <v:stroke dashstyle="solid"/>
            <w10:wrap type="topAndBottom"/>
          </v:shape>
        </w:pict>
      </w:r>
      <w:r>
        <w:rPr>
          <w:color w:val="231F20"/>
        </w:rPr>
        <w:t>ERS Consumer</w:t>
      </w:r>
      <w:r>
        <w:rPr>
          <w:color w:val="231F20"/>
          <w:spacing w:val="-11"/>
        </w:rPr>
        <w:t> </w:t>
      </w:r>
      <w:r>
        <w:rPr>
          <w:color w:val="231F20"/>
        </w:rPr>
        <w:t>Directed</w:t>
      </w:r>
      <w:r>
        <w:rPr>
          <w:color w:val="231F20"/>
          <w:spacing w:val="-6"/>
        </w:rPr>
        <w:t> </w:t>
      </w:r>
      <w:r>
        <w:rPr>
          <w:color w:val="231F20"/>
        </w:rPr>
        <w:t>HealthSelect</w:t>
        <w:tab/>
        <w:t>ERS HealthSelect Medicare</w:t>
      </w:r>
      <w:r>
        <w:rPr>
          <w:color w:val="231F20"/>
          <w:spacing w:val="-2"/>
        </w:rPr>
        <w:t> </w:t>
      </w:r>
      <w:r>
        <w:rPr>
          <w:color w:val="231F20"/>
        </w:rPr>
        <w:t>Secondary</w:t>
      </w:r>
    </w:p>
    <w:p>
      <w:pPr>
        <w:pStyle w:val="BodyText"/>
        <w:spacing w:before="1"/>
        <w:rPr>
          <w:b/>
          <w:sz w:val="7"/>
        </w:rPr>
      </w:pPr>
    </w:p>
    <w:p>
      <w:pPr>
        <w:spacing w:after="0"/>
        <w:rPr>
          <w:sz w:val="7"/>
        </w:rPr>
        <w:sectPr>
          <w:type w:val="continuous"/>
          <w:pgSz w:w="16560" w:h="12960" w:orient="landscape"/>
          <w:pgMar w:top="580" w:bottom="1160" w:left="540" w:right="540"/>
        </w:sectPr>
      </w:pPr>
    </w:p>
    <w:p>
      <w:pPr>
        <w:pStyle w:val="Heading3"/>
      </w:pPr>
      <w:r>
        <w:rPr>
          <w:color w:val="B30738"/>
        </w:rPr>
        <w:t>FRONT</w:t>
      </w:r>
    </w:p>
    <w:p>
      <w:pPr>
        <w:spacing w:before="94"/>
        <w:ind w:left="733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B30738"/>
          <w:sz w:val="20"/>
        </w:rPr>
        <w:t>BACK</w:t>
      </w:r>
    </w:p>
    <w:p>
      <w:pPr>
        <w:spacing w:before="94"/>
        <w:ind w:left="733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B30738"/>
          <w:sz w:val="20"/>
        </w:rPr>
        <w:t>FRONT</w:t>
      </w:r>
    </w:p>
    <w:p>
      <w:pPr>
        <w:spacing w:before="94"/>
        <w:ind w:left="733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B30738"/>
          <w:sz w:val="20"/>
        </w:rPr>
        <w:t>BACK</w:t>
      </w:r>
    </w:p>
    <w:p>
      <w:pPr>
        <w:spacing w:after="0"/>
        <w:jc w:val="left"/>
        <w:rPr>
          <w:sz w:val="20"/>
        </w:rPr>
        <w:sectPr>
          <w:type w:val="continuous"/>
          <w:pgSz w:w="16560" w:h="12960" w:orient="landscape"/>
          <w:pgMar w:top="580" w:bottom="1160" w:left="540" w:right="540"/>
          <w:cols w:num="4" w:equalWidth="0">
            <w:col w:w="1463" w:space="2353"/>
            <w:col w:w="1352" w:space="2789"/>
            <w:col w:w="1463" w:space="2353"/>
            <w:col w:w="3707"/>
          </w:cols>
        </w:sectPr>
      </w:pPr>
    </w:p>
    <w:p>
      <w:pPr>
        <w:pStyle w:val="BodyText"/>
        <w:spacing w:before="6"/>
        <w:rPr>
          <w:b/>
          <w:sz w:val="12"/>
        </w:rPr>
      </w:pPr>
    </w:p>
    <w:p>
      <w:pPr>
        <w:pStyle w:val="BodyText"/>
        <w:tabs>
          <w:tab w:pos="8028" w:val="left" w:leader="none"/>
          <w:tab w:pos="12370" w:val="left" w:leader="none"/>
        </w:tabs>
        <w:ind w:left="100"/>
      </w:pPr>
      <w:r>
        <w:rPr>
          <w:position w:val="10"/>
        </w:rPr>
        <w:drawing>
          <wp:inline distT="0" distB="0" distL="0" distR="0">
            <wp:extent cx="2666739" cy="1173479"/>
            <wp:effectExtent l="0" t="0" r="0" b="0"/>
            <wp:docPr id="9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9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6739" cy="1173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0"/>
        </w:rPr>
      </w:r>
      <w:r>
        <w:rPr>
          <w:rFonts w:ascii="Times New Roman"/>
          <w:spacing w:val="-2"/>
          <w:position w:val="10"/>
        </w:rPr>
        <w:t> </w:t>
      </w:r>
      <w:r>
        <w:rPr>
          <w:spacing w:val="-2"/>
          <w:position w:val="3"/>
        </w:rPr>
        <w:drawing>
          <wp:inline distT="0" distB="0" distL="0" distR="0">
            <wp:extent cx="1783680" cy="1207008"/>
            <wp:effectExtent l="0" t="0" r="0" b="0"/>
            <wp:docPr id="11" name="image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0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3680" cy="1207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position w:val="3"/>
        </w:rPr>
      </w:r>
      <w:r>
        <w:rPr>
          <w:spacing w:val="-2"/>
          <w:position w:val="3"/>
        </w:rPr>
        <w:tab/>
      </w:r>
      <w:r>
        <w:rPr>
          <w:spacing w:val="-2"/>
          <w:position w:val="5"/>
        </w:rPr>
        <w:pict>
          <v:group style="width:204.8pt;height:95.85pt;mso-position-horizontal-relative:char;mso-position-vertical-relative:line" coordorigin="0,0" coordsize="4096,1917">
            <v:shape style="position:absolute;left:0;top:0;width:4096;height:1917" type="#_x0000_t75" stroked="false">
              <v:imagedata r:id="rId17" o:title=""/>
            </v:shape>
            <v:shape style="position:absolute;left:1831;top:1681;width:511;height:102" type="#_x0000_t202" filled="false" stroked="false">
              <v:textbox inset="0,0,0,0">
                <w:txbxContent>
                  <w:p>
                    <w:pPr>
                      <w:spacing w:line="101" w:lineRule="exact" w:before="0"/>
                      <w:ind w:left="0" w:right="0" w:firstLine="0"/>
                      <w:jc w:val="left"/>
                      <w:rPr>
                        <w:sz w:val="9"/>
                      </w:rPr>
                    </w:pPr>
                    <w:r>
                      <w:rPr>
                        <w:color w:val="231F20"/>
                        <w:sz w:val="9"/>
                      </w:rPr>
                      <w:t>July</w:t>
                    </w:r>
                    <w:r>
                      <w:rPr>
                        <w:color w:val="231F20"/>
                        <w:spacing w:val="-18"/>
                        <w:sz w:val="9"/>
                      </w:rPr>
                      <w:t> </w:t>
                    </w:r>
                    <w:r>
                      <w:rPr>
                        <w:color w:val="231F20"/>
                        <w:sz w:val="9"/>
                      </w:rPr>
                      <w:t>27,</w:t>
                    </w:r>
                    <w:r>
                      <w:rPr>
                        <w:color w:val="231F20"/>
                        <w:spacing w:val="-16"/>
                        <w:sz w:val="9"/>
                      </w:rPr>
                      <w:t> </w:t>
                    </w:r>
                    <w:r>
                      <w:rPr>
                        <w:color w:val="231F20"/>
                        <w:sz w:val="9"/>
                      </w:rPr>
                      <w:t>2017</w:t>
                    </w:r>
                  </w:p>
                </w:txbxContent>
              </v:textbox>
              <w10:wrap type="none"/>
            </v:shape>
          </v:group>
        </w:pict>
      </w:r>
      <w:r>
        <w:rPr>
          <w:spacing w:val="-2"/>
          <w:position w:val="5"/>
        </w:rPr>
      </w:r>
      <w:r>
        <w:rPr>
          <w:spacing w:val="-2"/>
          <w:position w:val="5"/>
        </w:rPr>
        <w:tab/>
      </w:r>
      <w:r>
        <w:rPr>
          <w:spacing w:val="-2"/>
        </w:rPr>
        <w:drawing>
          <wp:inline distT="0" distB="0" distL="0" distR="0">
            <wp:extent cx="1917277" cy="1237488"/>
            <wp:effectExtent l="0" t="0" r="0" b="0"/>
            <wp:docPr id="1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2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7277" cy="1237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</w:rPr>
      </w:r>
    </w:p>
    <w:p>
      <w:pPr>
        <w:pStyle w:val="BodyText"/>
        <w:spacing w:before="1"/>
        <w:rPr>
          <w:b/>
          <w:sz w:val="29"/>
        </w:rPr>
      </w:pPr>
    </w:p>
    <w:p>
      <w:pPr>
        <w:spacing w:after="0"/>
        <w:rPr>
          <w:sz w:val="29"/>
        </w:rPr>
        <w:sectPr>
          <w:type w:val="continuous"/>
          <w:pgSz w:w="16560" w:h="12960" w:orient="landscape"/>
          <w:pgMar w:top="580" w:bottom="1160" w:left="540" w:right="540"/>
        </w:sectPr>
      </w:pPr>
    </w:p>
    <w:p>
      <w:pPr>
        <w:pStyle w:val="Heading2"/>
        <w:spacing w:before="193"/>
      </w:pPr>
      <w:r>
        <w:rPr/>
        <w:pict>
          <v:line style="position:absolute;mso-position-horizontal-relative:page;mso-position-vertical-relative:paragraph;z-index:251685888" from="36pt,27.482756pt" to="393.824pt,27.482756pt" stroked="true" strokeweight="1pt" strokecolor="#231f20">
            <v:stroke dashstyle="solid"/>
            <w10:wrap type="none"/>
          </v:line>
        </w:pict>
      </w:r>
      <w:r>
        <w:rPr>
          <w:color w:val="231F20"/>
        </w:rPr>
        <w:t>ERS HealthSelect Out-of-State</w:t>
      </w:r>
    </w:p>
    <w:p>
      <w:pPr>
        <w:pStyle w:val="BodyText"/>
        <w:spacing w:before="9"/>
        <w:rPr>
          <w:b/>
          <w:sz w:val="24"/>
        </w:rPr>
      </w:pPr>
    </w:p>
    <w:p>
      <w:pPr>
        <w:pStyle w:val="Heading3"/>
        <w:spacing w:before="0"/>
      </w:pPr>
      <w:r>
        <w:rPr/>
        <w:pict>
          <v:group style="position:absolute;margin-left:32pt;margin-top:16.684727pt;width:352.4pt;height:98pt;mso-position-horizontal-relative:page;mso-position-vertical-relative:paragraph;z-index:251684864" coordorigin="640,334" coordsize="7048,1960">
            <v:shape style="position:absolute;left:640;top:333;width:4247;height:1960" type="#_x0000_t75" stroked="false">
              <v:imagedata r:id="rId19" o:title=""/>
            </v:shape>
            <v:shape style="position:absolute;left:4886;top:414;width:2802;height:1871" type="#_x0000_t75" stroked="false">
              <v:imagedata r:id="rId20" o:title=""/>
            </v:shape>
            <w10:wrap type="none"/>
          </v:group>
        </w:pict>
      </w:r>
      <w:r>
        <w:rPr>
          <w:color w:val="B30738"/>
        </w:rPr>
        <w:t>FRONT</w:t>
      </w:r>
    </w:p>
    <w:p>
      <w:pPr>
        <w:pStyle w:val="BodyText"/>
        <w:rPr>
          <w:b/>
          <w:sz w:val="22"/>
        </w:rPr>
      </w:pPr>
      <w:r>
        <w:rPr/>
        <w:br w:type="column"/>
      </w:r>
      <w:r>
        <w:rPr>
          <w:b/>
          <w:sz w:val="22"/>
        </w:rPr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6"/>
        <w:rPr>
          <w:b/>
          <w:sz w:val="21"/>
        </w:rPr>
      </w:pPr>
    </w:p>
    <w:p>
      <w:pPr>
        <w:spacing w:before="1"/>
        <w:ind w:left="247" w:right="0" w:firstLine="0"/>
        <w:jc w:val="left"/>
        <w:rPr>
          <w:b/>
          <w:sz w:val="20"/>
        </w:rPr>
      </w:pPr>
      <w:r>
        <w:rPr>
          <w:b/>
          <w:color w:val="B30738"/>
          <w:sz w:val="20"/>
        </w:rPr>
        <w:t>BACK</w:t>
      </w:r>
    </w:p>
    <w:p>
      <w:pPr>
        <w:tabs>
          <w:tab w:pos="7285" w:val="left" w:leader="none"/>
        </w:tabs>
        <w:spacing w:before="88"/>
        <w:ind w:left="190" w:right="0" w:firstLine="0"/>
        <w:jc w:val="both"/>
        <w:rPr>
          <w:b/>
          <w:sz w:val="36"/>
        </w:rPr>
      </w:pPr>
      <w:r>
        <w:rPr/>
        <w:br w:type="column"/>
      </w:r>
      <w:r>
        <w:rPr>
          <w:b/>
          <w:color w:val="FFFFFF"/>
          <w:sz w:val="36"/>
          <w:shd w:fill="B30738" w:color="auto" w:val="clear"/>
        </w:rPr>
        <w:t>ERS Eligibility and</w:t>
      </w:r>
      <w:r>
        <w:rPr>
          <w:b/>
          <w:color w:val="FFFFFF"/>
          <w:spacing w:val="-10"/>
          <w:sz w:val="36"/>
          <w:shd w:fill="B30738" w:color="auto" w:val="clear"/>
        </w:rPr>
        <w:t> </w:t>
      </w:r>
      <w:r>
        <w:rPr>
          <w:b/>
          <w:color w:val="FFFFFF"/>
          <w:sz w:val="36"/>
          <w:shd w:fill="B30738" w:color="auto" w:val="clear"/>
        </w:rPr>
        <w:t>Benefits</w:t>
        <w:tab/>
      </w:r>
    </w:p>
    <w:p>
      <w:pPr>
        <w:pStyle w:val="BodyText"/>
        <w:spacing w:line="271" w:lineRule="auto" w:before="325"/>
        <w:ind w:left="100" w:right="192"/>
        <w:jc w:val="both"/>
      </w:pPr>
      <w:r>
        <w:rPr>
          <w:color w:val="231F20"/>
        </w:rPr>
        <w:t>The HealthSelect of </w:t>
      </w:r>
      <w:r>
        <w:rPr>
          <w:color w:val="231F20"/>
          <w:spacing w:val="-6"/>
        </w:rPr>
        <w:t>Texas </w:t>
      </w:r>
      <w:r>
        <w:rPr>
          <w:color w:val="231F20"/>
        </w:rPr>
        <w:t>and Consumer Directed HealthSelect (IN-Area and Out-of-State) and HealthSelect Secondary 65+ benefit designs include benefit changes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previous</w:t>
      </w:r>
      <w:r>
        <w:rPr>
          <w:color w:val="231F20"/>
          <w:spacing w:val="-4"/>
        </w:rPr>
        <w:t> </w:t>
      </w:r>
      <w:r>
        <w:rPr>
          <w:color w:val="231F20"/>
        </w:rPr>
        <w:t>administrator,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check</w:t>
      </w:r>
      <w:r>
        <w:rPr>
          <w:color w:val="231F20"/>
          <w:spacing w:val="-4"/>
        </w:rPr>
        <w:t> </w:t>
      </w:r>
      <w:r>
        <w:rPr>
          <w:color w:val="231F20"/>
        </w:rPr>
        <w:t>eligibility</w:t>
      </w:r>
      <w:r>
        <w:rPr>
          <w:color w:val="231F20"/>
          <w:spacing w:val="-5"/>
        </w:rPr>
        <w:t> </w:t>
      </w:r>
      <w:r>
        <w:rPr>
          <w:color w:val="231F20"/>
        </w:rPr>
        <w:t>and benefits prior to rendering</w:t>
      </w:r>
      <w:r>
        <w:rPr>
          <w:color w:val="231F20"/>
          <w:spacing w:val="-3"/>
        </w:rPr>
        <w:t> </w:t>
      </w:r>
      <w:r>
        <w:rPr>
          <w:color w:val="231F20"/>
        </w:rPr>
        <w:t>services.</w:t>
      </w:r>
    </w:p>
    <w:p>
      <w:pPr>
        <w:pStyle w:val="BodyText"/>
        <w:spacing w:line="271" w:lineRule="auto" w:before="90"/>
        <w:ind w:left="100" w:right="192"/>
        <w:jc w:val="both"/>
      </w:pPr>
      <w:r>
        <w:rPr>
          <w:color w:val="231F20"/>
        </w:rPr>
        <w:t>Refer to the Eligibility and Benefits section on BCBSTX's provider website for additional information, such as definitions and links to helpful resources.</w:t>
      </w:r>
    </w:p>
    <w:p>
      <w:pPr>
        <w:pStyle w:val="BodyText"/>
        <w:spacing w:before="6"/>
        <w:rPr>
          <w:sz w:val="27"/>
        </w:rPr>
      </w:pPr>
    </w:p>
    <w:p>
      <w:pPr>
        <w:pStyle w:val="BodyText"/>
        <w:spacing w:line="292" w:lineRule="auto"/>
        <w:ind w:left="1310" w:right="552" w:hanging="388"/>
      </w:pPr>
      <w:r>
        <w:rPr>
          <w:color w:val="231F20"/>
        </w:rPr>
        <w:t>As always please call POET with any questions you may have. (936) 637-7638 or email at </w:t>
      </w:r>
      <w:hyperlink r:id="rId8">
        <w:r>
          <w:rPr>
            <w:color w:val="231F20"/>
          </w:rPr>
          <w:t>staf</w:t>
        </w:r>
      </w:hyperlink>
      <w:hyperlink r:id="rId9">
        <w:r>
          <w:rPr>
            <w:color w:val="231F20"/>
          </w:rPr>
          <w:t>fadvocate@poetllc.org.</w:t>
        </w:r>
      </w:hyperlink>
    </w:p>
    <w:sectPr>
      <w:type w:val="continuous"/>
      <w:pgSz w:w="16560" w:h="12960" w:orient="landscape"/>
      <w:pgMar w:top="580" w:bottom="1160" w:left="540" w:right="540"/>
      <w:cols w:num="3" w:equalWidth="0">
        <w:col w:w="4263" w:space="40"/>
        <w:col w:w="2925" w:space="772"/>
        <w:col w:w="748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group style="position:absolute;margin-left:36pt;margin-top:589.908997pt;width:756pt;height:21.7pt;mso-position-horizontal-relative:page;mso-position-vertical-relative:page;z-index:-251890688" coordorigin="720,11798" coordsize="15120,434">
          <v:shape style="position:absolute;left:720;top:11940;width:15120;height:180" coordorigin="720,11940" coordsize="15120,180" path="m964,11940l720,11940,720,12120,964,12120,964,11940m15840,11940l1863,11940,1863,12120,15840,12120,15840,11940e" filled="true" fillcolor="#231f20" stroked="false">
            <v:path arrowok="t"/>
            <v:fill type="solid"/>
          </v:shape>
          <v:rect style="position:absolute;left:963;top:11798;width:900;height:434" filled="true" fillcolor="#b30738" stroked="false">
            <v:fill type="solid"/>
          </v:rect>
          <v:shape style="position:absolute;left:1037;top:11861;width:748;height:332" type="#_x0000_t75" stroked="false">
            <v:imagedata r:id="rId1" o:title=""/>
          </v:shape>
          <w10:wrap type="none"/>
        </v:group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4"/>
      <w:numFmt w:val="upperLetter"/>
      <w:lvlText w:val="%1."/>
      <w:lvlJc w:val="left"/>
      <w:pPr>
        <w:ind w:left="617" w:hanging="367"/>
        <w:jc w:val="left"/>
      </w:pPr>
      <w:rPr>
        <w:rFonts w:hint="default" w:ascii="Arial" w:hAnsi="Arial" w:eastAsia="Arial" w:cs="Arial"/>
        <w:b/>
        <w:bCs/>
        <w:color w:val="231F20"/>
        <w:spacing w:val="-15"/>
        <w:w w:val="100"/>
        <w:sz w:val="20"/>
        <w:szCs w:val="20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531" w:hanging="367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2443" w:hanging="367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3355" w:hanging="367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4267" w:hanging="367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5178" w:hanging="367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6090" w:hanging="367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7002" w:hanging="367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7914" w:hanging="367"/>
      </w:pPr>
      <w:rPr>
        <w:rFonts w:hint="default"/>
        <w:lang w:val="en-us" w:eastAsia="en-us" w:bidi="en-us"/>
      </w:rPr>
    </w:lvl>
  </w:abstractNum>
  <w:abstractNum w:abstractNumId="0">
    <w:multiLevelType w:val="hybridMultilevel"/>
    <w:lvl w:ilvl="0">
      <w:start w:val="1"/>
      <w:numFmt w:val="upperLetter"/>
      <w:lvlText w:val="%1."/>
      <w:lvlJc w:val="left"/>
      <w:pPr>
        <w:ind w:left="250" w:hanging="272"/>
        <w:jc w:val="left"/>
      </w:pPr>
      <w:rPr>
        <w:rFonts w:hint="default" w:ascii="Arial" w:hAnsi="Arial" w:eastAsia="Arial" w:cs="Arial"/>
        <w:b/>
        <w:bCs/>
        <w:color w:val="231F20"/>
        <w:spacing w:val="-1"/>
        <w:w w:val="100"/>
        <w:sz w:val="20"/>
        <w:szCs w:val="20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207" w:hanging="272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2155" w:hanging="272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3103" w:hanging="272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4051" w:hanging="272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4998" w:hanging="272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5946" w:hanging="272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6894" w:hanging="272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7842" w:hanging="272"/>
      </w:pPr>
      <w:rPr>
        <w:rFonts w:hint="default"/>
        <w:lang w:val="en-us" w:eastAsia="en-us" w:bidi="en-us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en-us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en-us"/>
    </w:rPr>
  </w:style>
  <w:style w:styleId="Heading1" w:type="paragraph">
    <w:name w:val="Heading 1"/>
    <w:basedOn w:val="Normal"/>
    <w:uiPriority w:val="1"/>
    <w:qFormat/>
    <w:pPr>
      <w:spacing w:before="63"/>
      <w:ind w:left="180"/>
      <w:outlineLvl w:val="1"/>
    </w:pPr>
    <w:rPr>
      <w:rFonts w:ascii="Arial" w:hAnsi="Arial" w:eastAsia="Arial" w:cs="Arial"/>
      <w:b/>
      <w:bCs/>
      <w:sz w:val="36"/>
      <w:szCs w:val="36"/>
      <w:lang w:val="en-us" w:eastAsia="en-us" w:bidi="en-us"/>
    </w:rPr>
  </w:style>
  <w:style w:styleId="Heading2" w:type="paragraph">
    <w:name w:val="Heading 2"/>
    <w:basedOn w:val="Normal"/>
    <w:uiPriority w:val="1"/>
    <w:qFormat/>
    <w:pPr>
      <w:spacing w:before="93"/>
      <w:ind w:left="180"/>
      <w:outlineLvl w:val="2"/>
    </w:pPr>
    <w:rPr>
      <w:rFonts w:ascii="Arial" w:hAnsi="Arial" w:eastAsia="Arial" w:cs="Arial"/>
      <w:b/>
      <w:bCs/>
      <w:sz w:val="24"/>
      <w:szCs w:val="24"/>
      <w:lang w:val="en-us" w:eastAsia="en-us" w:bidi="en-us"/>
    </w:rPr>
  </w:style>
  <w:style w:styleId="Heading3" w:type="paragraph">
    <w:name w:val="Heading 3"/>
    <w:basedOn w:val="Normal"/>
    <w:uiPriority w:val="1"/>
    <w:qFormat/>
    <w:pPr>
      <w:spacing w:before="94"/>
      <w:ind w:left="733"/>
      <w:outlineLvl w:val="3"/>
    </w:pPr>
    <w:rPr>
      <w:rFonts w:ascii="Arial" w:hAnsi="Arial" w:eastAsia="Arial" w:cs="Arial"/>
      <w:b/>
      <w:bCs/>
      <w:sz w:val="20"/>
      <w:szCs w:val="20"/>
      <w:lang w:val="en-us" w:eastAsia="en-us" w:bidi="en-us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en-us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staffadvocate@poetllc.org" TargetMode="External"/><Relationship Id="rId9" Type="http://schemas.openxmlformats.org/officeDocument/2006/relationships/hyperlink" Target="mailto:fadvocate@poetllc.org" TargetMode="External"/><Relationship Id="rId10" Type="http://schemas.openxmlformats.org/officeDocument/2006/relationships/image" Target="media/image4.jpeg"/><Relationship Id="rId11" Type="http://schemas.openxmlformats.org/officeDocument/2006/relationships/image" Target="media/image5.jpeg"/><Relationship Id="rId12" Type="http://schemas.openxmlformats.org/officeDocument/2006/relationships/image" Target="media/image6.jpeg"/><Relationship Id="rId13" Type="http://schemas.openxmlformats.org/officeDocument/2006/relationships/image" Target="media/image7.jpeg"/><Relationship Id="rId14" Type="http://schemas.openxmlformats.org/officeDocument/2006/relationships/image" Target="media/image8.jpeg"/><Relationship Id="rId15" Type="http://schemas.openxmlformats.org/officeDocument/2006/relationships/image" Target="media/image9.jpe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jpeg"/><Relationship Id="rId19" Type="http://schemas.openxmlformats.org/officeDocument/2006/relationships/image" Target="media/image13.png"/><Relationship Id="rId20" Type="http://schemas.openxmlformats.org/officeDocument/2006/relationships/image" Target="media/image14.jpeg"/><Relationship Id="rId21" Type="http://schemas.openxmlformats.org/officeDocument/2006/relationships/numbering" Target="numbering.xml"/></Relationships>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2019-10-30T00:02:28Z</dcterms:created>
  <dcterms:modified xsi:type="dcterms:W3CDTF">2019-10-30T00:02:28Z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2017-08-11T00:00:00Z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2019-10-30T00:00:00Z</vt:filetime>
  </property>
</Properties>
</file>