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8"/>
        <w:ind w:left="803" w:right="804" w:firstLine="0"/>
        <w:jc w:val="center"/>
        <w:rPr>
          <w:b/>
          <w:sz w:val="40"/>
        </w:rPr>
      </w:pPr>
      <w:r>
        <w:rPr>
          <w:b/>
          <w:sz w:val="40"/>
        </w:rPr>
        <w:t>Methodist Retirement Communities</w:t>
      </w:r>
    </w:p>
    <w:p>
      <w:pPr>
        <w:spacing w:before="290"/>
        <w:ind w:left="803" w:right="803" w:firstLine="0"/>
        <w:jc w:val="center"/>
        <w:rPr>
          <w:b/>
          <w:sz w:val="28"/>
        </w:rPr>
      </w:pPr>
      <w:r>
        <w:rPr>
          <w:b/>
          <w:sz w:val="28"/>
          <w:u w:val="thick"/>
        </w:rPr>
        <w:t>CONFIDENTIAL INFORMATION</w:t>
      </w:r>
    </w:p>
    <w:p>
      <w:pPr>
        <w:pStyle w:val="BodyText"/>
        <w:spacing w:line="480" w:lineRule="auto" w:before="267"/>
        <w:ind w:left="119" w:right="2063" w:firstLine="2491"/>
      </w:pPr>
      <w:r>
        <w:rPr/>
        <w:drawing>
          <wp:anchor distT="0" distB="0" distL="0" distR="0" allowOverlap="1" layoutInCell="1" locked="0" behindDoc="1" simplePos="0" relativeHeight="251230208">
            <wp:simplePos x="0" y="0"/>
            <wp:positionH relativeFrom="page">
              <wp:posOffset>1007515</wp:posOffset>
            </wp:positionH>
            <wp:positionV relativeFrom="paragraph">
              <wp:posOffset>703113</wp:posOffset>
            </wp:positionV>
            <wp:extent cx="5709608" cy="5494918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608" cy="5494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Contract effective date: March 1, 2014 SOME INFORMATION MAY BE OUT OF DATE</w:t>
      </w:r>
    </w:p>
    <w:p>
      <w:pPr>
        <w:pStyle w:val="Heading1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3" w:after="0"/>
        <w:ind w:left="840" w:right="0" w:hanging="720"/>
        <w:jc w:val="left"/>
      </w:pPr>
      <w:r>
        <w:rPr/>
        <w:t>BRIEF DESCRIPTION OF</w:t>
      </w:r>
      <w:r>
        <w:rPr>
          <w:spacing w:val="-3"/>
        </w:rPr>
        <w:t> </w:t>
      </w:r>
      <w:r>
        <w:rPr/>
        <w:t>PLAN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Heading3"/>
        <w:ind w:left="840" w:right="488"/>
      </w:pPr>
      <w:r>
        <w:rPr/>
        <w:t>Self-funded direct contract with Methodist Retirement Communities. Group Pension Administrators are the administrators of the plan.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1" w:after="0"/>
        <w:ind w:left="840" w:right="0" w:hanging="720"/>
        <w:jc w:val="left"/>
        <w:rPr>
          <w:b/>
          <w:sz w:val="24"/>
        </w:rPr>
      </w:pPr>
      <w:r>
        <w:rPr>
          <w:b/>
          <w:sz w:val="24"/>
        </w:rPr>
        <w:t>CLAIMS – DATED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INFORMATION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40" w:lineRule="auto" w:before="191" w:after="0"/>
        <w:ind w:left="1199" w:right="0" w:hanging="361"/>
        <w:jc w:val="left"/>
        <w:rPr>
          <w:sz w:val="22"/>
        </w:rPr>
      </w:pPr>
      <w:r>
        <w:rPr>
          <w:sz w:val="22"/>
        </w:rPr>
        <w:t>Billing</w:t>
      </w:r>
      <w:r>
        <w:rPr>
          <w:spacing w:val="-3"/>
          <w:sz w:val="22"/>
        </w:rPr>
        <w:t> </w:t>
      </w:r>
      <w:r>
        <w:rPr>
          <w:sz w:val="22"/>
        </w:rPr>
        <w:t>Address:</w:t>
      </w:r>
    </w:p>
    <w:p>
      <w:pPr>
        <w:pStyle w:val="BodyText"/>
        <w:spacing w:before="2"/>
        <w:ind w:left="1199"/>
      </w:pPr>
      <w:r>
        <w:rPr/>
        <w:t>Check on patient ID card</w:t>
      </w:r>
    </w:p>
    <w:p>
      <w:pPr>
        <w:pStyle w:val="ListParagraph"/>
        <w:numPr>
          <w:ilvl w:val="1"/>
          <w:numId w:val="1"/>
        </w:numPr>
        <w:tabs>
          <w:tab w:pos="1224" w:val="left" w:leader="none"/>
        </w:tabs>
        <w:spacing w:line="240" w:lineRule="auto" w:before="217" w:after="0"/>
        <w:ind w:left="1223" w:right="0" w:hanging="385"/>
        <w:jc w:val="left"/>
        <w:rPr>
          <w:sz w:val="22"/>
        </w:rPr>
      </w:pPr>
      <w:r>
        <w:rPr>
          <w:sz w:val="22"/>
        </w:rPr>
        <w:t>Electronic Billing Information – Electronic Payer ID#</w:t>
      </w:r>
      <w:r>
        <w:rPr>
          <w:spacing w:val="-14"/>
          <w:sz w:val="22"/>
        </w:rPr>
        <w:t> </w:t>
      </w:r>
      <w:r>
        <w:rPr>
          <w:sz w:val="22"/>
        </w:rPr>
        <w:t>48143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227" w:val="left" w:leader="none"/>
        </w:tabs>
        <w:spacing w:line="240" w:lineRule="auto" w:before="1" w:after="0"/>
        <w:ind w:left="1276" w:right="2420" w:hanging="437"/>
        <w:jc w:val="left"/>
        <w:rPr>
          <w:sz w:val="22"/>
        </w:rPr>
      </w:pPr>
      <w:r>
        <w:rPr>
          <w:sz w:val="22"/>
        </w:rPr>
        <w:t>Customer Service &amp; Eligibility verification process – (866) 206-3224, Option 2 – check on patient ID</w:t>
      </w:r>
      <w:r>
        <w:rPr>
          <w:spacing w:val="-20"/>
          <w:sz w:val="22"/>
        </w:rPr>
        <w:t> </w:t>
      </w:r>
      <w:r>
        <w:rPr>
          <w:sz w:val="22"/>
        </w:rPr>
        <w:t>card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40" w:lineRule="auto" w:before="0" w:after="0"/>
        <w:ind w:left="1199" w:right="0" w:hanging="361"/>
        <w:jc w:val="left"/>
        <w:rPr>
          <w:sz w:val="22"/>
        </w:rPr>
      </w:pPr>
      <w:r>
        <w:rPr>
          <w:sz w:val="22"/>
        </w:rPr>
        <w:t>Prior authorizations – (866) 206-3224, Option</w:t>
      </w:r>
      <w:r>
        <w:rPr>
          <w:spacing w:val="-8"/>
          <w:sz w:val="22"/>
        </w:rPr>
        <w:t> </w:t>
      </w:r>
      <w:r>
        <w:rPr>
          <w:sz w:val="22"/>
        </w:rPr>
        <w:t>3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220" w:after="0"/>
        <w:ind w:left="840" w:right="0" w:hanging="720"/>
        <w:jc w:val="left"/>
      </w:pPr>
      <w:r>
        <w:rPr/>
        <w:t>COVERED</w:t>
      </w:r>
      <w:r>
        <w:rPr>
          <w:spacing w:val="-2"/>
        </w:rPr>
        <w:t> </w:t>
      </w:r>
      <w:r>
        <w:rPr/>
        <w:t>LIVES</w:t>
      </w:r>
    </w:p>
    <w:p>
      <w:pPr>
        <w:pStyle w:val="ListParagraph"/>
        <w:numPr>
          <w:ilvl w:val="1"/>
          <w:numId w:val="1"/>
        </w:numPr>
        <w:tabs>
          <w:tab w:pos="1215" w:val="left" w:leader="none"/>
        </w:tabs>
        <w:spacing w:line="267" w:lineRule="exact" w:before="194" w:after="0"/>
        <w:ind w:left="1214" w:right="0" w:hanging="375"/>
        <w:jc w:val="left"/>
        <w:rPr>
          <w:sz w:val="22"/>
        </w:rPr>
      </w:pPr>
      <w:r>
        <w:rPr>
          <w:sz w:val="22"/>
        </w:rPr>
        <w:t>Covered</w:t>
      </w:r>
      <w:r>
        <w:rPr>
          <w:spacing w:val="-3"/>
          <w:sz w:val="22"/>
        </w:rPr>
        <w:t> </w:t>
      </w:r>
      <w:r>
        <w:rPr>
          <w:sz w:val="22"/>
        </w:rPr>
        <w:t>lives:</w:t>
      </w:r>
    </w:p>
    <w:p>
      <w:pPr>
        <w:pStyle w:val="BodyText"/>
        <w:spacing w:line="267" w:lineRule="exact"/>
        <w:ind w:left="1214"/>
      </w:pPr>
      <w:r>
        <w:rPr/>
        <w:t>In Angelina County - approximately 120 as of February 2014.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</w:pPr>
    </w:p>
    <w:p>
      <w:pPr>
        <w:pStyle w:val="Heading1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1" w:after="0"/>
        <w:ind w:left="840" w:right="0" w:hanging="720"/>
        <w:jc w:val="left"/>
      </w:pPr>
      <w:r>
        <w:rPr/>
        <w:t>EFFECTIVE DATE </w:t>
      </w:r>
      <w:r>
        <w:rPr>
          <w:b w:val="0"/>
        </w:rPr>
        <w:t>– </w:t>
      </w:r>
      <w:r>
        <w:rPr/>
        <w:t>March 1,</w:t>
      </w:r>
      <w:r>
        <w:rPr>
          <w:spacing w:val="-2"/>
        </w:rPr>
        <w:t> </w:t>
      </w:r>
      <w:r>
        <w:rPr/>
        <w:t>2014</w:t>
      </w:r>
    </w:p>
    <w:p>
      <w:pPr>
        <w:pStyle w:val="BodyText"/>
        <w:rPr>
          <w:b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241" w:after="0"/>
        <w:ind w:left="840" w:right="0" w:hanging="720"/>
        <w:jc w:val="left"/>
        <w:rPr>
          <w:b/>
          <w:sz w:val="24"/>
        </w:rPr>
      </w:pPr>
      <w:r>
        <w:rPr>
          <w:b/>
          <w:sz w:val="24"/>
        </w:rPr>
        <w:t>REIMBURSEMENT</w:t>
      </w:r>
    </w:p>
    <w:p>
      <w:pPr>
        <w:pStyle w:val="ListParagraph"/>
        <w:numPr>
          <w:ilvl w:val="1"/>
          <w:numId w:val="1"/>
        </w:numPr>
        <w:tabs>
          <w:tab w:pos="1215" w:val="left" w:leader="none"/>
        </w:tabs>
        <w:spacing w:line="240" w:lineRule="auto" w:before="194" w:after="0"/>
        <w:ind w:left="1214" w:right="196" w:hanging="375"/>
        <w:jc w:val="both"/>
        <w:rPr>
          <w:sz w:val="22"/>
        </w:rPr>
      </w:pPr>
      <w:r>
        <w:rPr>
          <w:sz w:val="22"/>
        </w:rPr>
        <w:t>COMPENSATION OF PARTICIPATING PROVIDERS - PAYER will pay</w:t>
      </w:r>
      <w:r>
        <w:rPr>
          <w:spacing w:val="-30"/>
          <w:sz w:val="22"/>
        </w:rPr>
        <w:t> </w:t>
      </w:r>
      <w:r>
        <w:rPr>
          <w:sz w:val="22"/>
        </w:rPr>
        <w:t>directly to Participating Provider the compensation for which PAYER is responsible pursuant to the Plan. 85% of billed charges. </w:t>
      </w:r>
      <w:r>
        <w:rPr>
          <w:sz w:val="18"/>
        </w:rPr>
        <w:t>(Exhibit B,</w:t>
      </w:r>
      <w:r>
        <w:rPr>
          <w:spacing w:val="-17"/>
          <w:sz w:val="18"/>
        </w:rPr>
        <w:t> </w:t>
      </w:r>
      <w:r>
        <w:rPr>
          <w:sz w:val="18"/>
        </w:rPr>
        <w:t>II.C.2)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1"/>
        </w:numPr>
        <w:tabs>
          <w:tab w:pos="1224" w:val="left" w:leader="none"/>
        </w:tabs>
        <w:spacing w:line="240" w:lineRule="auto" w:before="219" w:after="0"/>
        <w:ind w:left="1199" w:right="170" w:hanging="360"/>
        <w:jc w:val="left"/>
        <w:rPr>
          <w:sz w:val="22"/>
        </w:rPr>
      </w:pPr>
      <w:r>
        <w:rPr>
          <w:sz w:val="22"/>
        </w:rPr>
        <w:t>PROMPT PAY PROVISIONS - If PAYER fails to pay a Complete Claim within thirty (30) business days of receipt, it shall pay the full amount of the billed charges, unless such delay is due to extenuating circumstances. (2.2.1)</w:t>
      </w:r>
    </w:p>
    <w:p>
      <w:pPr>
        <w:spacing w:after="0" w:line="240" w:lineRule="auto"/>
        <w:jc w:val="left"/>
        <w:rPr>
          <w:sz w:val="22"/>
        </w:rPr>
        <w:sectPr>
          <w:footerReference w:type="default" r:id="rId5"/>
          <w:type w:val="continuous"/>
          <w:pgSz w:w="12240" w:h="15840"/>
          <w:pgMar w:footer="794" w:top="1360" w:bottom="980" w:left="1320" w:right="1320"/>
          <w:pgNumType w:start="1"/>
        </w:sectPr>
      </w:pPr>
    </w:p>
    <w:p>
      <w:pPr>
        <w:pStyle w:val="ListParagraph"/>
        <w:numPr>
          <w:ilvl w:val="1"/>
          <w:numId w:val="1"/>
        </w:numPr>
        <w:tabs>
          <w:tab w:pos="1227" w:val="left" w:leader="none"/>
        </w:tabs>
        <w:spacing w:line="240" w:lineRule="auto" w:before="155" w:after="0"/>
        <w:ind w:left="1226" w:right="0" w:hanging="388"/>
        <w:jc w:val="left"/>
        <w:rPr>
          <w:sz w:val="22"/>
        </w:rPr>
      </w:pPr>
      <w:r>
        <w:rPr>
          <w:sz w:val="22"/>
        </w:rPr>
        <w:t>CLAIMS FILING DEADLINE – 90</w:t>
      </w:r>
      <w:r>
        <w:rPr>
          <w:spacing w:val="-9"/>
          <w:sz w:val="22"/>
        </w:rPr>
        <w:t> </w:t>
      </w:r>
      <w:r>
        <w:rPr>
          <w:sz w:val="22"/>
        </w:rPr>
        <w:t>days</w:t>
      </w:r>
    </w:p>
    <w:p>
      <w:pPr>
        <w:pStyle w:val="BodyText"/>
        <w:spacing w:before="2"/>
        <w:ind w:left="1199" w:right="316"/>
      </w:pPr>
      <w:r>
        <w:rPr/>
        <w:t>“Complete claims shall be submitted to PAYER within ninety (90) days of the date when services are rendered.” (2.2.2)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1"/>
          <w:numId w:val="1"/>
        </w:numPr>
        <w:tabs>
          <w:tab w:pos="1167" w:val="left" w:leader="none"/>
        </w:tabs>
        <w:spacing w:line="240" w:lineRule="auto" w:before="0" w:after="0"/>
        <w:ind w:left="1198" w:right="420" w:hanging="359"/>
        <w:jc w:val="left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251231232">
            <wp:simplePos x="0" y="0"/>
            <wp:positionH relativeFrom="page">
              <wp:posOffset>1007515</wp:posOffset>
            </wp:positionH>
            <wp:positionV relativeFrom="paragraph">
              <wp:posOffset>594651</wp:posOffset>
            </wp:positionV>
            <wp:extent cx="5709608" cy="5494918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608" cy="5494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RECOUPMENT DEADLINE </w:t>
      </w:r>
      <w:r>
        <w:rPr>
          <w:b/>
          <w:sz w:val="22"/>
        </w:rPr>
        <w:t>– </w:t>
      </w:r>
      <w:r>
        <w:rPr>
          <w:sz w:val="22"/>
        </w:rPr>
        <w:t>12 months following the date on which the payment was made. “Participating Providers shall not be responsible</w:t>
      </w:r>
      <w:r>
        <w:rPr>
          <w:spacing w:val="-30"/>
          <w:sz w:val="22"/>
        </w:rPr>
        <w:t> </w:t>
      </w:r>
      <w:r>
        <w:rPr>
          <w:sz w:val="22"/>
        </w:rPr>
        <w:t>for overpayments unless claims therefore are submitted by PAYER within twelve (12) months following the date on which payment was made.” (2.2.2 and Exhibit B.II.C.4 and</w:t>
      </w:r>
      <w:r>
        <w:rPr>
          <w:spacing w:val="-11"/>
          <w:sz w:val="22"/>
        </w:rPr>
        <w:t> </w:t>
      </w:r>
      <w:r>
        <w:rPr>
          <w:sz w:val="22"/>
        </w:rPr>
        <w:t>D)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40" w:lineRule="auto" w:before="1" w:after="0"/>
        <w:ind w:left="1196" w:right="243" w:hanging="357"/>
        <w:jc w:val="left"/>
        <w:rPr>
          <w:sz w:val="22"/>
        </w:rPr>
      </w:pPr>
      <w:r>
        <w:rPr>
          <w:sz w:val="22"/>
        </w:rPr>
        <w:t>RIGHT TO BILL PATIENT – “PAYER acknowledges and agrees that Participating Providers may bill or collect from Beneficiaries (i) deductibles, coinsurance, or co- payments required by a Plan to be paid by the Beneficiaries: (ii) charges for services that are not Covered Services under a Plan; (iii) charges for Covered Services for which the Beneficiary has previously exhausted the maximum benefit payment amount as specified in a Plan; and (iv) charges for Covered Services rendered pursuant to a Plan for which participating Provider has not been compensated because PAYER has been adjudicated bankrupt, become insolvent, had a received of its assets or property appointed or made a general assignment for the benefit of creditors, or instituted or caused to be instituted any proceeding in bankruptcy.”</w:t>
      </w:r>
      <w:r>
        <w:rPr>
          <w:spacing w:val="-11"/>
          <w:sz w:val="22"/>
        </w:rPr>
        <w:t> </w:t>
      </w:r>
      <w:r>
        <w:rPr>
          <w:sz w:val="22"/>
        </w:rPr>
        <w:t>(2.2.3)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40" w:lineRule="auto" w:before="218" w:after="0"/>
        <w:ind w:left="1199" w:right="390" w:hanging="360"/>
        <w:jc w:val="left"/>
        <w:rPr>
          <w:sz w:val="22"/>
        </w:rPr>
      </w:pPr>
      <w:r>
        <w:rPr>
          <w:sz w:val="22"/>
        </w:rPr>
        <w:t>VERIFICATION – Provider shall be entitled to rely on a summary of benefits and eligibility when provided by PAYER by means of the Payer’s automated system on the date of service.</w:t>
      </w:r>
      <w:r>
        <w:rPr>
          <w:spacing w:val="-14"/>
          <w:sz w:val="22"/>
        </w:rPr>
        <w:t> </w:t>
      </w:r>
      <w:r>
        <w:rPr>
          <w:sz w:val="22"/>
        </w:rPr>
        <w:t>(2.2.5)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1244" w:val="left" w:leader="none"/>
        </w:tabs>
        <w:spacing w:line="240" w:lineRule="auto" w:before="0" w:after="0"/>
        <w:ind w:left="1243" w:right="0" w:hanging="405"/>
        <w:jc w:val="left"/>
        <w:rPr>
          <w:i/>
          <w:sz w:val="22"/>
        </w:rPr>
      </w:pPr>
      <w:r>
        <w:rPr>
          <w:sz w:val="22"/>
        </w:rPr>
        <w:t>APPEALS PROCESS </w:t>
      </w:r>
      <w:r>
        <w:rPr>
          <w:i/>
          <w:sz w:val="22"/>
        </w:rPr>
        <w:t>– See attached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guidelines.</w:t>
      </w:r>
    </w:p>
    <w:p>
      <w:pPr>
        <w:pStyle w:val="BodyText"/>
        <w:rPr>
          <w:i/>
        </w:rPr>
      </w:pP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40" w:lineRule="auto" w:before="1" w:after="0"/>
        <w:ind w:left="1199" w:right="0" w:hanging="361"/>
        <w:jc w:val="left"/>
        <w:rPr>
          <w:i/>
          <w:sz w:val="22"/>
        </w:rPr>
      </w:pPr>
      <w:r>
        <w:rPr>
          <w:sz w:val="22"/>
        </w:rPr>
        <w:t>OVERPAYMENT CLAIMS </w:t>
      </w:r>
      <w:r>
        <w:rPr>
          <w:i/>
          <w:sz w:val="22"/>
        </w:rPr>
        <w:t>– See attached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guidelines.</w:t>
      </w: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0"/>
        </w:rPr>
      </w:pPr>
    </w:p>
    <w:p>
      <w:pPr>
        <w:pStyle w:val="Heading1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0" w:after="0"/>
        <w:ind w:left="840" w:right="0" w:hanging="720"/>
        <w:jc w:val="left"/>
      </w:pPr>
      <w:r>
        <w:rPr/>
        <w:t>PLAN ADMINISTRATION – DATED</w:t>
      </w:r>
      <w:r>
        <w:rPr>
          <w:spacing w:val="-4"/>
        </w:rPr>
        <w:t> </w:t>
      </w:r>
      <w:r>
        <w:rPr/>
        <w:t>INFORMATION</w:t>
      </w:r>
    </w:p>
    <w:p>
      <w:pPr>
        <w:pStyle w:val="ListParagraph"/>
        <w:numPr>
          <w:ilvl w:val="1"/>
          <w:numId w:val="1"/>
        </w:numPr>
        <w:tabs>
          <w:tab w:pos="1224" w:val="left" w:leader="none"/>
        </w:tabs>
        <w:spacing w:line="240" w:lineRule="auto" w:before="194" w:after="0"/>
        <w:ind w:left="1223" w:right="0" w:hanging="385"/>
        <w:jc w:val="left"/>
        <w:rPr>
          <w:sz w:val="22"/>
        </w:rPr>
      </w:pPr>
      <w:r>
        <w:rPr>
          <w:sz w:val="22"/>
        </w:rPr>
        <w:t>ELIGIBILITY – 1-866-206-3224, option</w:t>
      </w:r>
      <w:r>
        <w:rPr>
          <w:spacing w:val="-5"/>
          <w:sz w:val="22"/>
        </w:rPr>
        <w:t> </w:t>
      </w:r>
      <w:r>
        <w:rPr>
          <w:sz w:val="22"/>
        </w:rPr>
        <w:t>2</w:t>
      </w:r>
    </w:p>
    <w:p>
      <w:pPr>
        <w:pStyle w:val="ListParagraph"/>
        <w:numPr>
          <w:ilvl w:val="1"/>
          <w:numId w:val="1"/>
        </w:numPr>
        <w:tabs>
          <w:tab w:pos="1224" w:val="left" w:leader="none"/>
        </w:tabs>
        <w:spacing w:line="240" w:lineRule="auto" w:before="194" w:after="0"/>
        <w:ind w:left="1223" w:right="0" w:hanging="385"/>
        <w:jc w:val="left"/>
        <w:rPr>
          <w:sz w:val="22"/>
        </w:rPr>
      </w:pPr>
      <w:r>
        <w:rPr>
          <w:sz w:val="22"/>
        </w:rPr>
        <w:t>PRIOR AUTHORIZATION – 866-206-3224, option</w:t>
      </w:r>
      <w:r>
        <w:rPr>
          <w:spacing w:val="-10"/>
          <w:sz w:val="22"/>
        </w:rPr>
        <w:t> </w:t>
      </w:r>
      <w:r>
        <w:rPr>
          <w:sz w:val="22"/>
        </w:rPr>
        <w:t>3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0"/>
          <w:numId w:val="1"/>
        </w:numPr>
        <w:tabs>
          <w:tab w:pos="840" w:val="left" w:leader="none"/>
        </w:tabs>
        <w:spacing w:line="240" w:lineRule="auto" w:before="171" w:after="0"/>
        <w:ind w:left="840" w:right="0" w:hanging="720"/>
        <w:jc w:val="left"/>
      </w:pPr>
      <w:r>
        <w:rPr/>
        <w:t>FACILITIES – DATED</w:t>
      </w:r>
      <w:r>
        <w:rPr>
          <w:spacing w:val="-4"/>
        </w:rPr>
        <w:t> </w:t>
      </w:r>
      <w:r>
        <w:rPr/>
        <w:t>INFORMATION</w:t>
      </w:r>
    </w:p>
    <w:p>
      <w:pPr>
        <w:pStyle w:val="ListParagraph"/>
        <w:numPr>
          <w:ilvl w:val="1"/>
          <w:numId w:val="1"/>
        </w:numPr>
        <w:tabs>
          <w:tab w:pos="1224" w:val="left" w:leader="none"/>
        </w:tabs>
        <w:spacing w:line="240" w:lineRule="auto" w:before="192" w:after="0"/>
        <w:ind w:left="1223" w:right="0" w:hanging="385"/>
        <w:jc w:val="left"/>
        <w:rPr>
          <w:sz w:val="22"/>
        </w:rPr>
      </w:pPr>
      <w:r>
        <w:rPr>
          <w:sz w:val="22"/>
        </w:rPr>
        <w:t>HOSPITALS – both Lufkin</w:t>
      </w:r>
      <w:r>
        <w:rPr>
          <w:spacing w:val="-8"/>
          <w:sz w:val="22"/>
        </w:rPr>
        <w:t> </w:t>
      </w:r>
      <w:r>
        <w:rPr>
          <w:sz w:val="22"/>
        </w:rPr>
        <w:t>hospitals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0"/>
        </w:rPr>
      </w:pPr>
    </w:p>
    <w:p>
      <w:pPr>
        <w:pStyle w:val="Heading1"/>
        <w:numPr>
          <w:ilvl w:val="0"/>
          <w:numId w:val="1"/>
        </w:numPr>
        <w:tabs>
          <w:tab w:pos="869" w:val="left" w:leader="none"/>
        </w:tabs>
        <w:spacing w:line="240" w:lineRule="auto" w:before="1" w:after="0"/>
        <w:ind w:left="868" w:right="0" w:hanging="749"/>
        <w:jc w:val="left"/>
      </w:pPr>
      <w:r>
        <w:rPr/>
        <w:t>PATIENT</w:t>
      </w:r>
      <w:r>
        <w:rPr>
          <w:spacing w:val="-2"/>
        </w:rPr>
        <w:t> </w:t>
      </w:r>
      <w:r>
        <w:rPr/>
        <w:t>INFO</w:t>
      </w:r>
    </w:p>
    <w:p>
      <w:pPr>
        <w:pStyle w:val="ListParagraph"/>
        <w:numPr>
          <w:ilvl w:val="1"/>
          <w:numId w:val="1"/>
        </w:numPr>
        <w:tabs>
          <w:tab w:pos="1224" w:val="left" w:leader="none"/>
        </w:tabs>
        <w:spacing w:line="240" w:lineRule="auto" w:before="194" w:after="0"/>
        <w:ind w:left="1224" w:right="0" w:hanging="385"/>
        <w:jc w:val="left"/>
        <w:rPr>
          <w:i/>
          <w:sz w:val="22"/>
        </w:rPr>
      </w:pPr>
      <w:r>
        <w:rPr>
          <w:sz w:val="22"/>
        </w:rPr>
        <w:t>ID CARD – COPY OF CARD – </w:t>
      </w:r>
      <w:r>
        <w:rPr>
          <w:i/>
          <w:sz w:val="22"/>
        </w:rPr>
        <w:t>See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attached.</w:t>
      </w:r>
    </w:p>
    <w:p>
      <w:pPr>
        <w:spacing w:after="0" w:line="240" w:lineRule="auto"/>
        <w:jc w:val="left"/>
        <w:rPr>
          <w:sz w:val="22"/>
        </w:rPr>
        <w:sectPr>
          <w:pgSz w:w="12240" w:h="15840"/>
          <w:pgMar w:header="0" w:footer="794" w:top="1500" w:bottom="980" w:left="1320" w:right="1320"/>
        </w:sectPr>
      </w:pPr>
    </w:p>
    <w:p>
      <w:pPr>
        <w:pStyle w:val="Heading1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78" w:after="0"/>
        <w:ind w:left="840" w:right="0" w:hanging="720"/>
        <w:jc w:val="left"/>
      </w:pPr>
      <w:r>
        <w:rPr/>
        <w:t>PHYSICIAN</w:t>
      </w:r>
      <w:r>
        <w:rPr>
          <w:spacing w:val="-1"/>
        </w:rPr>
        <w:t> </w:t>
      </w:r>
      <w:r>
        <w:rPr/>
        <w:t>RIGHTS</w:t>
      </w:r>
    </w:p>
    <w:p>
      <w:pPr>
        <w:pStyle w:val="ListParagraph"/>
        <w:numPr>
          <w:ilvl w:val="1"/>
          <w:numId w:val="1"/>
        </w:numPr>
        <w:tabs>
          <w:tab w:pos="1224" w:val="left" w:leader="none"/>
        </w:tabs>
        <w:spacing w:line="240" w:lineRule="auto" w:before="194" w:after="0"/>
        <w:ind w:left="1223" w:right="0" w:hanging="385"/>
        <w:jc w:val="left"/>
        <w:rPr>
          <w:sz w:val="22"/>
        </w:rPr>
      </w:pPr>
      <w:r>
        <w:rPr>
          <w:sz w:val="22"/>
        </w:rPr>
        <w:t>OPT OUT NOTIFICATION PERIOD – 90 days written</w:t>
      </w:r>
      <w:r>
        <w:rPr>
          <w:spacing w:val="-12"/>
          <w:sz w:val="22"/>
        </w:rPr>
        <w:t> </w:t>
      </w:r>
      <w:r>
        <w:rPr>
          <w:sz w:val="22"/>
        </w:rPr>
        <w:t>notification.</w:t>
      </w:r>
    </w:p>
    <w:p>
      <w:pPr>
        <w:pStyle w:val="ListParagraph"/>
        <w:numPr>
          <w:ilvl w:val="1"/>
          <w:numId w:val="1"/>
        </w:numPr>
        <w:tabs>
          <w:tab w:pos="1215" w:val="left" w:leader="none"/>
        </w:tabs>
        <w:spacing w:line="240" w:lineRule="auto" w:before="218" w:after="0"/>
        <w:ind w:left="1214" w:right="0" w:hanging="375"/>
        <w:jc w:val="left"/>
        <w:rPr>
          <w:sz w:val="22"/>
        </w:rPr>
      </w:pPr>
      <w:r>
        <w:rPr>
          <w:sz w:val="22"/>
        </w:rPr>
        <w:t>MAY USE IN OFFICE LAB AND</w:t>
      </w:r>
      <w:r>
        <w:rPr>
          <w:spacing w:val="-6"/>
          <w:sz w:val="22"/>
        </w:rPr>
        <w:t> </w:t>
      </w:r>
      <w:r>
        <w:rPr>
          <w:sz w:val="22"/>
        </w:rPr>
        <w:t>X-RAY.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215" w:val="left" w:leader="none"/>
        </w:tabs>
        <w:spacing w:line="242" w:lineRule="auto" w:before="0" w:after="0"/>
        <w:ind w:left="1214" w:right="191" w:hanging="375"/>
        <w:jc w:val="left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251232256">
            <wp:simplePos x="0" y="0"/>
            <wp:positionH relativeFrom="page">
              <wp:posOffset>1007515</wp:posOffset>
            </wp:positionH>
            <wp:positionV relativeFrom="paragraph">
              <wp:posOffset>455899</wp:posOffset>
            </wp:positionV>
            <wp:extent cx="5709608" cy="5494918"/>
            <wp:effectExtent l="0" t="0" r="0" b="0"/>
            <wp:wrapNone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608" cy="5494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PAYMENT FOR MEDICAL RECORDS – “</w:t>
      </w:r>
      <w:r>
        <w:rPr>
          <w:sz w:val="18"/>
        </w:rPr>
        <w:t>Each Participating Provider providing copies of medical records to PAYER shall be reimbursed for its copy costs at the rate of $.20 per page for the first twenty (20) pages and $.25 per page thereafter.</w:t>
      </w:r>
      <w:r>
        <w:rPr>
          <w:spacing w:val="-20"/>
          <w:sz w:val="18"/>
        </w:rPr>
        <w:t> </w:t>
      </w:r>
      <w:r>
        <w:rPr>
          <w:sz w:val="18"/>
        </w:rPr>
        <w:t>(2.4)</w:t>
      </w: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0" w:after="0"/>
        <w:ind w:left="839" w:right="336" w:hanging="720"/>
        <w:jc w:val="left"/>
        <w:rPr>
          <w:sz w:val="24"/>
        </w:rPr>
      </w:pPr>
      <w:r>
        <w:rPr>
          <w:b/>
          <w:sz w:val="24"/>
        </w:rPr>
        <w:t>THREE PLANS ARE INCLUDED – </w:t>
      </w:r>
      <w:r>
        <w:rPr>
          <w:sz w:val="24"/>
        </w:rPr>
        <w:t>Call POET for more extensive</w:t>
      </w:r>
      <w:r>
        <w:rPr>
          <w:spacing w:val="-27"/>
          <w:sz w:val="24"/>
        </w:rPr>
        <w:t> </w:t>
      </w:r>
      <w:r>
        <w:rPr>
          <w:sz w:val="24"/>
        </w:rPr>
        <w:t>plan information.</w:t>
      </w:r>
    </w:p>
    <w:p>
      <w:pPr>
        <w:pStyle w:val="Heading2"/>
        <w:ind w:left="839"/>
      </w:pPr>
      <w:r>
        <w:rPr>
          <w:i/>
        </w:rPr>
        <w:t>THIS INFORMATION WAS AT THE TIME OF THE ROLLOUT OF </w:t>
      </w:r>
      <w:r>
        <w:rPr/>
        <w:t>THE AGREEMENT. PLEASE CALL TO VERIFY BENEFITS PLAN</w:t>
      </w:r>
    </w:p>
    <w:p>
      <w:pPr>
        <w:pStyle w:val="ListParagraph"/>
        <w:numPr>
          <w:ilvl w:val="1"/>
          <w:numId w:val="1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  <w:rPr>
          <w:b/>
          <w:sz w:val="22"/>
        </w:rPr>
      </w:pPr>
      <w:r>
        <w:rPr>
          <w:b/>
          <w:sz w:val="24"/>
        </w:rPr>
        <w:t>GOLD</w:t>
      </w:r>
    </w:p>
    <w:p>
      <w:pPr>
        <w:pStyle w:val="BodyText"/>
        <w:spacing w:before="3"/>
        <w:rPr>
          <w:b/>
          <w:sz w:val="12"/>
        </w:rPr>
      </w:pPr>
    </w:p>
    <w:tbl>
      <w:tblPr>
        <w:tblW w:w="0" w:type="auto"/>
        <w:jc w:val="left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3780"/>
      </w:tblGrid>
      <w:tr>
        <w:trPr>
          <w:trHeight w:val="534" w:hRule="atLeast"/>
        </w:trPr>
        <w:tc>
          <w:tcPr>
            <w:tcW w:w="4680" w:type="dxa"/>
            <w:shd w:val="clear" w:color="auto" w:fill="DDD9C3"/>
          </w:tcPr>
          <w:p>
            <w:pPr>
              <w:pStyle w:val="TableParagraph"/>
              <w:spacing w:line="266" w:lineRule="exact" w:before="5"/>
              <w:ind w:left="835" w:right="820" w:firstLine="108"/>
              <w:rPr>
                <w:b/>
                <w:sz w:val="22"/>
              </w:rPr>
            </w:pPr>
            <w:r>
              <w:rPr>
                <w:b/>
                <w:sz w:val="22"/>
              </w:rPr>
              <w:t>Deductible and Annual Out-of-Pocket Maximum</w:t>
            </w:r>
          </w:p>
        </w:tc>
        <w:tc>
          <w:tcPr>
            <w:tcW w:w="3780" w:type="dxa"/>
            <w:shd w:val="clear" w:color="auto" w:fill="DDD9C3"/>
          </w:tcPr>
          <w:p>
            <w:pPr>
              <w:pStyle w:val="TableParagraph"/>
              <w:spacing w:line="264" w:lineRule="exact"/>
              <w:ind w:left="194"/>
              <w:rPr>
                <w:b/>
                <w:sz w:val="22"/>
              </w:rPr>
            </w:pPr>
            <w:r>
              <w:rPr>
                <w:b/>
                <w:sz w:val="22"/>
              </w:rPr>
              <w:t>Facility and PPO Physicians</w:t>
            </w:r>
          </w:p>
        </w:tc>
      </w:tr>
      <w:tr>
        <w:trPr>
          <w:trHeight w:val="799" w:hRule="atLeast"/>
        </w:trPr>
        <w:tc>
          <w:tcPr>
            <w:tcW w:w="4680" w:type="dxa"/>
          </w:tcPr>
          <w:p>
            <w:pPr>
              <w:pStyle w:val="TableParagraph"/>
              <w:spacing w:line="26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Calendar Year Deductible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  <w:tab w:pos="828" w:val="left" w:leader="none"/>
              </w:tabs>
              <w:spacing w:line="269" w:lineRule="exact" w:before="0" w:after="0"/>
              <w:ind w:left="827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Per Covered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Person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  <w:tab w:pos="828" w:val="left" w:leader="none"/>
              </w:tabs>
              <w:spacing w:line="249" w:lineRule="exact" w:before="0" w:after="0"/>
              <w:ind w:left="827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Family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Limit*</w:t>
            </w:r>
          </w:p>
        </w:tc>
        <w:tc>
          <w:tcPr>
            <w:tcW w:w="3780" w:type="dxa"/>
          </w:tcPr>
          <w:p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1409" w:right="1401"/>
              <w:jc w:val="center"/>
              <w:rPr>
                <w:sz w:val="22"/>
              </w:rPr>
            </w:pPr>
            <w:r>
              <w:rPr>
                <w:sz w:val="22"/>
              </w:rPr>
              <w:t>$1,000</w:t>
            </w:r>
          </w:p>
          <w:p>
            <w:pPr>
              <w:pStyle w:val="TableParagraph"/>
              <w:spacing w:line="249" w:lineRule="exact" w:before="1"/>
              <w:ind w:left="1409" w:right="1401"/>
              <w:jc w:val="center"/>
              <w:rPr>
                <w:sz w:val="22"/>
              </w:rPr>
            </w:pPr>
            <w:r>
              <w:rPr>
                <w:sz w:val="22"/>
              </w:rPr>
              <w:t>$2,000</w:t>
            </w:r>
          </w:p>
        </w:tc>
      </w:tr>
      <w:tr>
        <w:trPr>
          <w:trHeight w:val="1336" w:hRule="atLeast"/>
        </w:trPr>
        <w:tc>
          <w:tcPr>
            <w:tcW w:w="4680" w:type="dxa"/>
          </w:tcPr>
          <w:p>
            <w:pPr>
              <w:pStyle w:val="TableParagraph"/>
              <w:ind w:right="569"/>
              <w:jc w:val="both"/>
              <w:rPr>
                <w:sz w:val="22"/>
              </w:rPr>
            </w:pPr>
            <w:r>
              <w:rPr>
                <w:b/>
                <w:sz w:val="22"/>
              </w:rPr>
              <w:t>Annual Out-of-Pocket Maximum </w:t>
            </w:r>
            <w:r>
              <w:rPr>
                <w:sz w:val="22"/>
              </w:rPr>
              <w:t>(Includes Deductible and ER Copay; Excludes Rx Copays)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9" w:val="left" w:leader="none"/>
              </w:tabs>
              <w:spacing w:line="269" w:lineRule="exact" w:before="0" w:after="0"/>
              <w:ind w:left="828" w:right="0" w:hanging="362"/>
              <w:jc w:val="both"/>
              <w:rPr>
                <w:sz w:val="22"/>
              </w:rPr>
            </w:pPr>
            <w:r>
              <w:rPr>
                <w:sz w:val="22"/>
              </w:rPr>
              <w:t>Per Covered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Person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8" w:val="left" w:leader="none"/>
              </w:tabs>
              <w:spacing w:line="249" w:lineRule="exact" w:before="0" w:after="0"/>
              <w:ind w:left="827" w:right="0" w:hanging="361"/>
              <w:jc w:val="both"/>
              <w:rPr>
                <w:sz w:val="22"/>
              </w:rPr>
            </w:pPr>
            <w:r>
              <w:rPr>
                <w:sz w:val="22"/>
              </w:rPr>
              <w:t>Family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Limit*</w:t>
            </w:r>
          </w:p>
        </w:tc>
        <w:tc>
          <w:tcPr>
            <w:tcW w:w="3780" w:type="dxa"/>
          </w:tcPr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167"/>
              <w:ind w:left="1409" w:right="1401"/>
              <w:jc w:val="center"/>
              <w:rPr>
                <w:sz w:val="22"/>
              </w:rPr>
            </w:pPr>
            <w:r>
              <w:rPr>
                <w:sz w:val="22"/>
              </w:rPr>
              <w:t>$3,000</w:t>
            </w:r>
          </w:p>
          <w:p>
            <w:pPr>
              <w:pStyle w:val="TableParagraph"/>
              <w:spacing w:line="249" w:lineRule="exact" w:before="1"/>
              <w:ind w:left="1409" w:right="1401"/>
              <w:jc w:val="center"/>
              <w:rPr>
                <w:sz w:val="22"/>
              </w:rPr>
            </w:pPr>
            <w:r>
              <w:rPr>
                <w:sz w:val="22"/>
              </w:rPr>
              <w:t>$6,000</w:t>
            </w:r>
          </w:p>
        </w:tc>
      </w:tr>
    </w:tbl>
    <w:p>
      <w:pPr>
        <w:pStyle w:val="BodyText"/>
        <w:ind w:left="839"/>
      </w:pPr>
      <w:r>
        <w:rPr/>
        <w:t>*Applies collectively to all Covered Persons in the same Family.</w:t>
      </w:r>
    </w:p>
    <w:p>
      <w:pPr>
        <w:pStyle w:val="BodyText"/>
      </w:pPr>
    </w:p>
    <w:p>
      <w:pPr>
        <w:spacing w:before="0"/>
        <w:ind w:left="839" w:right="0" w:firstLine="0"/>
        <w:jc w:val="left"/>
        <w:rPr>
          <w:b/>
          <w:sz w:val="22"/>
        </w:rPr>
      </w:pPr>
      <w:r>
        <w:rPr>
          <w:b/>
          <w:sz w:val="22"/>
        </w:rPr>
        <w:t>Level II – Physician Benefits – Payment Levels and Limits</w:t>
      </w:r>
    </w:p>
    <w:p>
      <w:pPr>
        <w:pStyle w:val="BodyText"/>
        <w:spacing w:before="2"/>
        <w:rPr>
          <w:b/>
          <w:sz w:val="14"/>
        </w:rPr>
      </w:pPr>
    </w:p>
    <w:tbl>
      <w:tblPr>
        <w:tblW w:w="0" w:type="auto"/>
        <w:jc w:val="left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3780"/>
      </w:tblGrid>
      <w:tr>
        <w:trPr>
          <w:trHeight w:val="268" w:hRule="atLeast"/>
        </w:trPr>
        <w:tc>
          <w:tcPr>
            <w:tcW w:w="4680" w:type="dxa"/>
            <w:shd w:val="clear" w:color="auto" w:fill="DDD9C3"/>
          </w:tcPr>
          <w:p>
            <w:pPr>
              <w:pStyle w:val="TableParagraph"/>
              <w:spacing w:line="248" w:lineRule="exact"/>
              <w:ind w:left="827"/>
              <w:rPr>
                <w:b/>
                <w:sz w:val="22"/>
              </w:rPr>
            </w:pPr>
            <w:r>
              <w:rPr>
                <w:b/>
                <w:sz w:val="22"/>
              </w:rPr>
              <w:t>Benefit Percentage For:</w:t>
            </w:r>
          </w:p>
        </w:tc>
        <w:tc>
          <w:tcPr>
            <w:tcW w:w="3780" w:type="dxa"/>
            <w:shd w:val="clear" w:color="auto" w:fill="DDD9C3"/>
          </w:tcPr>
          <w:p>
            <w:pPr>
              <w:pStyle w:val="TableParagraph"/>
              <w:spacing w:line="248" w:lineRule="exact"/>
              <w:ind w:left="1154"/>
              <w:rPr>
                <w:b/>
                <w:sz w:val="22"/>
              </w:rPr>
            </w:pPr>
            <w:r>
              <w:rPr>
                <w:b/>
                <w:sz w:val="22"/>
              </w:rPr>
              <w:t>PPO Benefit</w:t>
            </w:r>
          </w:p>
        </w:tc>
      </w:tr>
      <w:tr>
        <w:trPr>
          <w:trHeight w:val="534" w:hRule="atLeast"/>
        </w:trPr>
        <w:tc>
          <w:tcPr>
            <w:tcW w:w="4680" w:type="dxa"/>
          </w:tcPr>
          <w:p>
            <w:pPr>
              <w:pStyle w:val="TableParagraph"/>
              <w:spacing w:line="26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Physician Hospital Visits/Surgeon</w:t>
            </w:r>
          </w:p>
        </w:tc>
        <w:tc>
          <w:tcPr>
            <w:tcW w:w="3780" w:type="dxa"/>
          </w:tcPr>
          <w:p>
            <w:pPr>
              <w:pStyle w:val="TableParagraph"/>
              <w:spacing w:line="268" w:lineRule="exact" w:before="3"/>
              <w:ind w:right="1625"/>
              <w:rPr>
                <w:sz w:val="22"/>
              </w:rPr>
            </w:pPr>
            <w:r>
              <w:rPr>
                <w:sz w:val="22"/>
              </w:rPr>
              <w:t>80% of PPO rate Deductible applies</w:t>
            </w:r>
          </w:p>
        </w:tc>
      </w:tr>
      <w:tr>
        <w:trPr>
          <w:trHeight w:val="797" w:hRule="atLeast"/>
        </w:trPr>
        <w:tc>
          <w:tcPr>
            <w:tcW w:w="4680" w:type="dxa"/>
          </w:tcPr>
          <w:p>
            <w:pPr>
              <w:pStyle w:val="TableParagraph"/>
              <w:spacing w:line="260" w:lineRule="exact"/>
              <w:rPr>
                <w:sz w:val="22"/>
              </w:rPr>
            </w:pPr>
            <w:r>
              <w:rPr>
                <w:b/>
                <w:sz w:val="22"/>
              </w:rPr>
              <w:t>Office Visit </w:t>
            </w:r>
            <w:r>
              <w:rPr>
                <w:sz w:val="22"/>
              </w:rPr>
              <w:t>(including Office Surgery</w:t>
            </w:r>
          </w:p>
          <w:p>
            <w:pPr>
              <w:pStyle w:val="TableParagraph"/>
              <w:spacing w:line="266" w:lineRule="exact" w:before="10"/>
              <w:ind w:right="718"/>
              <w:rPr>
                <w:sz w:val="22"/>
              </w:rPr>
            </w:pPr>
            <w:r>
              <w:rPr>
                <w:sz w:val="22"/>
              </w:rPr>
              <w:t>and Lab and X-ray – except Select Diagnostic Medical Procedures)</w:t>
            </w:r>
          </w:p>
        </w:tc>
        <w:tc>
          <w:tcPr>
            <w:tcW w:w="3780" w:type="dxa"/>
          </w:tcPr>
          <w:p>
            <w:pPr>
              <w:pStyle w:val="TableParagraph"/>
              <w:spacing w:line="260" w:lineRule="exact"/>
              <w:rPr>
                <w:sz w:val="22"/>
              </w:rPr>
            </w:pPr>
            <w:r>
              <w:rPr>
                <w:sz w:val="22"/>
              </w:rPr>
              <w:t>100% of PPO rate after</w:t>
            </w:r>
          </w:p>
          <w:p>
            <w:pPr>
              <w:pStyle w:val="TableParagraph"/>
              <w:spacing w:line="267" w:lineRule="exact" w:before="1"/>
              <w:rPr>
                <w:sz w:val="22"/>
              </w:rPr>
            </w:pPr>
            <w:r>
              <w:rPr>
                <w:sz w:val="22"/>
              </w:rPr>
              <w:t>$35 Copay (PCP)</w:t>
            </w:r>
          </w:p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$70 Copay (Specialist)</w:t>
            </w:r>
          </w:p>
        </w:tc>
      </w:tr>
      <w:tr>
        <w:trPr>
          <w:trHeight w:val="1989" w:hRule="atLeast"/>
        </w:trPr>
        <w:tc>
          <w:tcPr>
            <w:tcW w:w="468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Lab and X-ray </w:t>
            </w:r>
            <w:r>
              <w:rPr>
                <w:sz w:val="22"/>
              </w:rPr>
              <w:t>(Outpatient Hospital, freestanding facility or independent lab)</w:t>
            </w:r>
          </w:p>
          <w:p>
            <w:pPr>
              <w:pStyle w:val="TableParagraph"/>
              <w:spacing w:before="162"/>
              <w:ind w:right="446"/>
              <w:rPr>
                <w:sz w:val="22"/>
              </w:rPr>
            </w:pPr>
            <w:r>
              <w:rPr>
                <w:sz w:val="22"/>
              </w:rPr>
              <w:t>Select Diagnostic Medical Procedures (CT scans, MRIs, PET scans, etc.)</w:t>
            </w:r>
          </w:p>
          <w:p>
            <w:pPr>
              <w:pStyle w:val="TableParagraph"/>
              <w:spacing w:before="171"/>
              <w:rPr>
                <w:sz w:val="22"/>
              </w:rPr>
            </w:pPr>
            <w:r>
              <w:rPr>
                <w:sz w:val="22"/>
              </w:rPr>
              <w:t>All Other Lab/X-ray</w:t>
            </w:r>
          </w:p>
        </w:tc>
        <w:tc>
          <w:tcPr>
            <w:tcW w:w="3780" w:type="dxa"/>
          </w:tcPr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164"/>
              <w:ind w:right="1643"/>
              <w:rPr>
                <w:sz w:val="22"/>
              </w:rPr>
            </w:pPr>
            <w:r>
              <w:rPr>
                <w:sz w:val="22"/>
              </w:rPr>
              <w:t>80% of PPO rate Deductible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3"/>
                <w:sz w:val="22"/>
              </w:rPr>
              <w:t>applies</w:t>
            </w:r>
          </w:p>
          <w:p>
            <w:pPr>
              <w:pStyle w:val="TableParagraph"/>
              <w:spacing w:before="120"/>
              <w:rPr>
                <w:sz w:val="22"/>
              </w:rPr>
            </w:pPr>
            <w:r>
              <w:rPr>
                <w:sz w:val="22"/>
              </w:rPr>
              <w:t>100% of PPO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rate</w:t>
            </w:r>
          </w:p>
          <w:p>
            <w:pPr>
              <w:pStyle w:val="TableParagraph"/>
              <w:spacing w:line="249" w:lineRule="exact" w:before="1"/>
              <w:rPr>
                <w:sz w:val="22"/>
              </w:rPr>
            </w:pPr>
            <w:r>
              <w:rPr>
                <w:sz w:val="22"/>
              </w:rPr>
              <w:t>Copay and Deductible waived</w:t>
            </w:r>
          </w:p>
        </w:tc>
      </w:tr>
    </w:tbl>
    <w:p>
      <w:pPr>
        <w:pStyle w:val="BodyText"/>
        <w:spacing w:before="10"/>
        <w:rPr>
          <w:b/>
          <w:sz w:val="21"/>
        </w:rPr>
      </w:pPr>
    </w:p>
    <w:p>
      <w:pPr>
        <w:spacing w:before="0"/>
        <w:ind w:left="839" w:right="0" w:firstLine="0"/>
        <w:jc w:val="left"/>
        <w:rPr>
          <w:b/>
          <w:sz w:val="22"/>
        </w:rPr>
      </w:pPr>
      <w:r>
        <w:rPr>
          <w:b/>
          <w:sz w:val="22"/>
        </w:rPr>
        <w:t>See Section D for Preventative Benefits.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40" w:lineRule="auto" w:before="1" w:after="0"/>
        <w:ind w:left="840" w:right="808" w:firstLine="0"/>
        <w:jc w:val="left"/>
        <w:rPr>
          <w:b/>
          <w:i/>
          <w:sz w:val="22"/>
        </w:rPr>
      </w:pPr>
      <w:r>
        <w:rPr>
          <w:b/>
          <w:sz w:val="24"/>
          <w:u w:val="thick"/>
        </w:rPr>
        <w:t>SILVER -</w:t>
      </w:r>
      <w:r>
        <w:rPr>
          <w:b/>
          <w:sz w:val="24"/>
        </w:rPr>
        <w:t> </w:t>
      </w:r>
      <w:r>
        <w:rPr>
          <w:b/>
          <w:i/>
          <w:sz w:val="24"/>
        </w:rPr>
        <w:t>THIS INFORMATION WAS AT THE TIME OF THE </w:t>
      </w:r>
      <w:r>
        <w:rPr>
          <w:b/>
          <w:i/>
          <w:sz w:val="24"/>
        </w:rPr>
        <w:t>ROLLOUT OF THE AGREEMENT. PLEASE CALL TO VERIFY BENEFITS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PLAN</w:t>
      </w:r>
    </w:p>
    <w:p>
      <w:pPr>
        <w:spacing w:after="0" w:line="240" w:lineRule="auto"/>
        <w:jc w:val="left"/>
        <w:rPr>
          <w:sz w:val="22"/>
        </w:rPr>
        <w:sectPr>
          <w:pgSz w:w="12240" w:h="15840"/>
          <w:pgMar w:header="0" w:footer="794" w:top="1360" w:bottom="980" w:left="1320" w:right="1320"/>
        </w:sect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9"/>
        <w:rPr>
          <w:b/>
          <w:i/>
          <w:sz w:val="16"/>
        </w:rPr>
      </w:pPr>
    </w:p>
    <w:tbl>
      <w:tblPr>
        <w:tblW w:w="0" w:type="auto"/>
        <w:jc w:val="left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3780"/>
      </w:tblGrid>
      <w:tr>
        <w:trPr>
          <w:trHeight w:val="534" w:hRule="atLeast"/>
        </w:trPr>
        <w:tc>
          <w:tcPr>
            <w:tcW w:w="4680" w:type="dxa"/>
            <w:shd w:val="clear" w:color="auto" w:fill="DDD9C3"/>
          </w:tcPr>
          <w:p>
            <w:pPr>
              <w:pStyle w:val="TableParagraph"/>
              <w:spacing w:line="268" w:lineRule="exact" w:before="7"/>
              <w:ind w:left="835" w:right="820" w:firstLine="108"/>
              <w:rPr>
                <w:b/>
                <w:sz w:val="22"/>
              </w:rPr>
            </w:pPr>
            <w:r>
              <w:rPr>
                <w:b/>
                <w:sz w:val="22"/>
              </w:rPr>
              <w:t>Deductible and Annual Out-of-Pocket Maximum</w:t>
            </w:r>
          </w:p>
        </w:tc>
        <w:tc>
          <w:tcPr>
            <w:tcW w:w="3780" w:type="dxa"/>
            <w:shd w:val="clear" w:color="auto" w:fill="DDD9C3"/>
          </w:tcPr>
          <w:p>
            <w:pPr>
              <w:pStyle w:val="TableParagraph"/>
              <w:ind w:left="194"/>
              <w:rPr>
                <w:b/>
                <w:sz w:val="22"/>
              </w:rPr>
            </w:pPr>
            <w:r>
              <w:rPr>
                <w:b/>
                <w:sz w:val="22"/>
              </w:rPr>
              <w:t>Facility and PPO Physicians</w:t>
            </w:r>
          </w:p>
        </w:tc>
      </w:tr>
      <w:tr>
        <w:trPr>
          <w:trHeight w:val="963" w:hRule="atLeast"/>
        </w:trPr>
        <w:tc>
          <w:tcPr>
            <w:tcW w:w="4680" w:type="dxa"/>
          </w:tcPr>
          <w:p>
            <w:pPr>
              <w:pStyle w:val="TableParagraph"/>
              <w:spacing w:line="26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Calendar Year Deductible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7" w:val="left" w:leader="none"/>
                <w:tab w:pos="828" w:val="left" w:leader="none"/>
              </w:tabs>
              <w:spacing w:line="268" w:lineRule="exact" w:before="1" w:after="0"/>
              <w:ind w:left="827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Per Covered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Person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7" w:val="left" w:leader="none"/>
                <w:tab w:pos="828" w:val="left" w:leader="none"/>
              </w:tabs>
              <w:spacing w:line="268" w:lineRule="exact" w:before="0" w:after="0"/>
              <w:ind w:left="827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Family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Limit*</w:t>
            </w:r>
          </w:p>
        </w:tc>
        <w:tc>
          <w:tcPr>
            <w:tcW w:w="3780" w:type="dxa"/>
          </w:tcPr>
          <w:p>
            <w:pPr>
              <w:pStyle w:val="TableParagraph"/>
              <w:spacing w:before="5"/>
              <w:ind w:left="0"/>
              <w:rPr>
                <w:b/>
                <w:i/>
                <w:sz w:val="21"/>
              </w:rPr>
            </w:pPr>
          </w:p>
          <w:p>
            <w:pPr>
              <w:pStyle w:val="TableParagraph"/>
              <w:spacing w:line="267" w:lineRule="exact" w:before="1"/>
              <w:ind w:left="1409" w:right="1401"/>
              <w:jc w:val="center"/>
              <w:rPr>
                <w:sz w:val="22"/>
              </w:rPr>
            </w:pPr>
            <w:r>
              <w:rPr>
                <w:sz w:val="22"/>
              </w:rPr>
              <w:t>$2,500</w:t>
            </w:r>
          </w:p>
          <w:p>
            <w:pPr>
              <w:pStyle w:val="TableParagraph"/>
              <w:spacing w:line="267" w:lineRule="exact"/>
              <w:ind w:left="1409" w:right="1401"/>
              <w:jc w:val="center"/>
              <w:rPr>
                <w:sz w:val="22"/>
              </w:rPr>
            </w:pPr>
            <w:r>
              <w:rPr>
                <w:sz w:val="22"/>
              </w:rPr>
              <w:t>$5,000</w:t>
            </w:r>
          </w:p>
        </w:tc>
      </w:tr>
      <w:tr>
        <w:trPr>
          <w:trHeight w:val="1506" w:hRule="atLeast"/>
        </w:trPr>
        <w:tc>
          <w:tcPr>
            <w:tcW w:w="4680" w:type="dxa"/>
          </w:tcPr>
          <w:p>
            <w:pPr>
              <w:pStyle w:val="TableParagraph"/>
              <w:ind w:right="569"/>
              <w:jc w:val="both"/>
              <w:rPr>
                <w:sz w:val="22"/>
              </w:rPr>
            </w:pPr>
            <w:r>
              <w:rPr>
                <w:b/>
                <w:sz w:val="22"/>
              </w:rPr>
              <w:t>Annual Out-of-Pocket Maximum </w:t>
            </w:r>
            <w:r>
              <w:rPr>
                <w:sz w:val="22"/>
              </w:rPr>
              <w:t>(Includes Deductible and ER Copay; Excludes Rx Copays)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9" w:val="left" w:leader="none"/>
              </w:tabs>
              <w:spacing w:line="268" w:lineRule="exact" w:before="2" w:after="0"/>
              <w:ind w:left="828" w:right="0" w:hanging="362"/>
              <w:jc w:val="both"/>
              <w:rPr>
                <w:sz w:val="22"/>
              </w:rPr>
            </w:pPr>
            <w:r>
              <w:rPr>
                <w:sz w:val="22"/>
              </w:rPr>
              <w:t>Per Covered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Person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9" w:val="left" w:leader="none"/>
              </w:tabs>
              <w:spacing w:line="268" w:lineRule="exact" w:before="0" w:after="0"/>
              <w:ind w:left="828" w:right="0" w:hanging="362"/>
              <w:jc w:val="both"/>
              <w:rPr>
                <w:sz w:val="22"/>
              </w:rPr>
            </w:pPr>
            <w:r>
              <w:rPr>
                <w:sz w:val="22"/>
              </w:rPr>
              <w:t>Family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Limit*</w:t>
            </w:r>
          </w:p>
        </w:tc>
        <w:tc>
          <w:tcPr>
            <w:tcW w:w="3780" w:type="dxa"/>
          </w:tcPr>
          <w:p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>
            <w:pPr>
              <w:pStyle w:val="TableParagraph"/>
              <w:spacing w:line="267" w:lineRule="exact" w:before="172"/>
              <w:ind w:left="1409" w:right="1401"/>
              <w:jc w:val="center"/>
              <w:rPr>
                <w:sz w:val="22"/>
              </w:rPr>
            </w:pPr>
            <w:r>
              <w:rPr>
                <w:sz w:val="22"/>
              </w:rPr>
              <w:t>$6,350</w:t>
            </w:r>
          </w:p>
          <w:p>
            <w:pPr>
              <w:pStyle w:val="TableParagraph"/>
              <w:spacing w:line="267" w:lineRule="exact"/>
              <w:ind w:left="1409" w:right="1401"/>
              <w:jc w:val="center"/>
              <w:rPr>
                <w:sz w:val="22"/>
              </w:rPr>
            </w:pPr>
            <w:r>
              <w:rPr>
                <w:sz w:val="22"/>
              </w:rPr>
              <w:t>$12,700</w:t>
            </w:r>
          </w:p>
        </w:tc>
      </w:tr>
    </w:tbl>
    <w:p>
      <w:pPr>
        <w:pStyle w:val="BodyText"/>
        <w:spacing w:before="1"/>
        <w:ind w:left="840"/>
      </w:pPr>
      <w:r>
        <w:rPr/>
        <w:drawing>
          <wp:anchor distT="0" distB="0" distL="0" distR="0" allowOverlap="1" layoutInCell="1" locked="0" behindDoc="1" simplePos="0" relativeHeight="251233280">
            <wp:simplePos x="0" y="0"/>
            <wp:positionH relativeFrom="page">
              <wp:posOffset>1007515</wp:posOffset>
            </wp:positionH>
            <wp:positionV relativeFrom="paragraph">
              <wp:posOffset>-1003445</wp:posOffset>
            </wp:positionV>
            <wp:extent cx="5709608" cy="5494918"/>
            <wp:effectExtent l="0" t="0" r="0" b="0"/>
            <wp:wrapNone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608" cy="5494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*Applies collectively to all Covered Persons in the same Family.</w:t>
      </w:r>
    </w:p>
    <w:p>
      <w:pPr>
        <w:pStyle w:val="BodyText"/>
        <w:spacing w:before="2"/>
        <w:rPr>
          <w:sz w:val="36"/>
        </w:rPr>
      </w:pPr>
    </w:p>
    <w:p>
      <w:pPr>
        <w:pStyle w:val="Heading1"/>
        <w:ind w:firstLine="0"/>
      </w:pPr>
      <w:r>
        <w:rPr/>
        <w:t>Level II – Physician Benefits – Payment Levels and Limits</w:t>
      </w:r>
    </w:p>
    <w:p>
      <w:pPr>
        <w:pStyle w:val="BodyText"/>
        <w:spacing w:before="1"/>
        <w:rPr>
          <w:b/>
        </w:rPr>
      </w:pPr>
    </w:p>
    <w:tbl>
      <w:tblPr>
        <w:tblW w:w="0" w:type="auto"/>
        <w:jc w:val="left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3780"/>
      </w:tblGrid>
      <w:tr>
        <w:trPr>
          <w:trHeight w:val="268" w:hRule="atLeast"/>
        </w:trPr>
        <w:tc>
          <w:tcPr>
            <w:tcW w:w="4680" w:type="dxa"/>
            <w:shd w:val="clear" w:color="auto" w:fill="DDD9C3"/>
          </w:tcPr>
          <w:p>
            <w:pPr>
              <w:pStyle w:val="TableParagraph"/>
              <w:spacing w:line="248" w:lineRule="exact"/>
              <w:ind w:left="827"/>
              <w:rPr>
                <w:b/>
                <w:sz w:val="22"/>
              </w:rPr>
            </w:pPr>
            <w:r>
              <w:rPr>
                <w:b/>
                <w:sz w:val="22"/>
              </w:rPr>
              <w:t>Benefit Percentage For:</w:t>
            </w:r>
          </w:p>
        </w:tc>
        <w:tc>
          <w:tcPr>
            <w:tcW w:w="3780" w:type="dxa"/>
            <w:shd w:val="clear" w:color="auto" w:fill="DDD9C3"/>
          </w:tcPr>
          <w:p>
            <w:pPr>
              <w:pStyle w:val="TableParagraph"/>
              <w:spacing w:line="248" w:lineRule="exact"/>
              <w:ind w:left="1154"/>
              <w:rPr>
                <w:b/>
                <w:sz w:val="22"/>
              </w:rPr>
            </w:pPr>
            <w:r>
              <w:rPr>
                <w:b/>
                <w:sz w:val="22"/>
              </w:rPr>
              <w:t>PPO Benefit</w:t>
            </w:r>
          </w:p>
        </w:tc>
      </w:tr>
      <w:tr>
        <w:trPr>
          <w:trHeight w:val="705" w:hRule="atLeast"/>
        </w:trPr>
        <w:tc>
          <w:tcPr>
            <w:tcW w:w="4680" w:type="dxa"/>
          </w:tcPr>
          <w:p>
            <w:pPr>
              <w:pStyle w:val="TableParagraph"/>
              <w:spacing w:line="26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Physician Hospital Visits/Surgeon</w:t>
            </w:r>
          </w:p>
        </w:tc>
        <w:tc>
          <w:tcPr>
            <w:tcW w:w="3780" w:type="dxa"/>
          </w:tcPr>
          <w:p>
            <w:pPr>
              <w:pStyle w:val="TableParagraph"/>
              <w:ind w:right="1625"/>
              <w:rPr>
                <w:sz w:val="22"/>
              </w:rPr>
            </w:pPr>
            <w:r>
              <w:rPr>
                <w:sz w:val="22"/>
              </w:rPr>
              <w:t>80% of PPO rate Deductible applies</w:t>
            </w:r>
          </w:p>
        </w:tc>
      </w:tr>
      <w:tr>
        <w:trPr>
          <w:trHeight w:val="971" w:hRule="atLeast"/>
        </w:trPr>
        <w:tc>
          <w:tcPr>
            <w:tcW w:w="468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Office Visit </w:t>
            </w:r>
            <w:r>
              <w:rPr>
                <w:sz w:val="22"/>
              </w:rPr>
              <w:t>(including Office Surgery and Lab and X-ray – except Select Diagnostic Medical Procedures)</w:t>
            </w:r>
          </w:p>
        </w:tc>
        <w:tc>
          <w:tcPr>
            <w:tcW w:w="3780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100% of PPO rate after</w:t>
            </w:r>
          </w:p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sz w:val="22"/>
              </w:rPr>
              <w:t>$40 Copay (PCP)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$80 Copay (Specialist)</w:t>
            </w:r>
          </w:p>
        </w:tc>
      </w:tr>
      <w:tr>
        <w:trPr>
          <w:trHeight w:val="2308" w:hRule="atLeast"/>
        </w:trPr>
        <w:tc>
          <w:tcPr>
            <w:tcW w:w="468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Lab and X-ray </w:t>
            </w:r>
            <w:r>
              <w:rPr>
                <w:sz w:val="22"/>
              </w:rPr>
              <w:t>(Outpatient Hospital, freestanding facility or independent lab)</w:t>
            </w:r>
          </w:p>
          <w:p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right="446"/>
              <w:rPr>
                <w:sz w:val="22"/>
              </w:rPr>
            </w:pPr>
            <w:r>
              <w:rPr>
                <w:sz w:val="22"/>
              </w:rPr>
              <w:t>Select Diagnostic Medical Procedures (CT scans, MRIs, PET scans, etc.)</w:t>
            </w:r>
          </w:p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All Other Lab/X-ray</w:t>
            </w:r>
          </w:p>
        </w:tc>
        <w:tc>
          <w:tcPr>
            <w:tcW w:w="3780" w:type="dxa"/>
          </w:tcPr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166"/>
              <w:ind w:right="1625"/>
              <w:rPr>
                <w:sz w:val="22"/>
              </w:rPr>
            </w:pPr>
            <w:r>
              <w:rPr>
                <w:sz w:val="22"/>
              </w:rPr>
              <w:t>80% of PPO rate Deductible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3"/>
                <w:sz w:val="22"/>
              </w:rPr>
              <w:t>applies</w:t>
            </w:r>
          </w:p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100% of PPO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rate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Copay and Deductible waived</w:t>
            </w:r>
          </w:p>
        </w:tc>
      </w:tr>
    </w:tbl>
    <w:p>
      <w:pPr>
        <w:pStyle w:val="BodyText"/>
        <w:spacing w:before="10"/>
        <w:rPr>
          <w:b/>
          <w:sz w:val="21"/>
        </w:rPr>
      </w:pPr>
    </w:p>
    <w:p>
      <w:pPr>
        <w:spacing w:before="0"/>
        <w:ind w:left="839" w:right="0" w:firstLine="0"/>
        <w:jc w:val="left"/>
        <w:rPr>
          <w:b/>
          <w:sz w:val="22"/>
        </w:rPr>
      </w:pPr>
      <w:r>
        <w:rPr>
          <w:b/>
          <w:sz w:val="22"/>
        </w:rPr>
        <w:t>See Section D for Preventative Benefits.</w:t>
      </w:r>
    </w:p>
    <w:p>
      <w:pPr>
        <w:spacing w:after="0"/>
        <w:jc w:val="left"/>
        <w:rPr>
          <w:sz w:val="22"/>
        </w:rPr>
        <w:sectPr>
          <w:pgSz w:w="12240" w:h="15840"/>
          <w:pgMar w:header="0" w:footer="794" w:top="1500" w:bottom="980" w:left="1320" w:right="1320"/>
        </w:sectPr>
      </w:pPr>
    </w:p>
    <w:p>
      <w:pPr>
        <w:pStyle w:val="ListParagraph"/>
        <w:numPr>
          <w:ilvl w:val="1"/>
          <w:numId w:val="1"/>
        </w:numPr>
        <w:tabs>
          <w:tab w:pos="840" w:val="left" w:leader="none"/>
        </w:tabs>
        <w:spacing w:line="240" w:lineRule="auto" w:before="78" w:after="0"/>
        <w:ind w:left="840" w:right="0" w:hanging="360"/>
        <w:jc w:val="left"/>
        <w:rPr>
          <w:b/>
          <w:sz w:val="22"/>
        </w:rPr>
      </w:pPr>
      <w:r>
        <w:rPr>
          <w:b/>
          <w:sz w:val="24"/>
          <w:u w:val="thick"/>
        </w:rPr>
        <w:t>BRONZE</w:t>
      </w:r>
      <w:r>
        <w:rPr>
          <w:b/>
          <w:spacing w:val="-3"/>
          <w:sz w:val="24"/>
          <w:u w:val="thick"/>
        </w:rPr>
        <w:t> </w:t>
      </w:r>
      <w:r>
        <w:rPr>
          <w:b/>
          <w:sz w:val="24"/>
          <w:u w:val="thick"/>
        </w:rPr>
        <w:t>-</w:t>
      </w:r>
    </w:p>
    <w:p>
      <w:pPr>
        <w:spacing w:before="2"/>
        <w:ind w:left="840" w:right="488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THIS INFORMATION WAS AT THE TIME OF THE ROLLOUT OF </w:t>
      </w:r>
      <w:r>
        <w:rPr>
          <w:b/>
          <w:i/>
          <w:sz w:val="24"/>
        </w:rPr>
        <w:t>THE AGREEMENT. PLEASE CALL TO VERIFY BENEFITS PLAN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7"/>
        <w:rPr>
          <w:b/>
          <w:i/>
          <w:sz w:val="23"/>
        </w:rPr>
      </w:pPr>
    </w:p>
    <w:tbl>
      <w:tblPr>
        <w:tblW w:w="0" w:type="auto"/>
        <w:jc w:val="left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3780"/>
      </w:tblGrid>
      <w:tr>
        <w:trPr>
          <w:trHeight w:val="534" w:hRule="atLeast"/>
        </w:trPr>
        <w:tc>
          <w:tcPr>
            <w:tcW w:w="4680" w:type="dxa"/>
            <w:shd w:val="clear" w:color="auto" w:fill="DDD9C3"/>
          </w:tcPr>
          <w:p>
            <w:pPr>
              <w:pStyle w:val="TableParagraph"/>
              <w:spacing w:line="266" w:lineRule="exact" w:before="11"/>
              <w:ind w:left="835" w:right="820" w:firstLine="108"/>
              <w:rPr>
                <w:b/>
                <w:sz w:val="22"/>
              </w:rPr>
            </w:pPr>
            <w:r>
              <w:rPr>
                <w:b/>
                <w:sz w:val="22"/>
              </w:rPr>
              <w:t>Deductible and Annual Out-of-Pocket Maximum</w:t>
            </w:r>
          </w:p>
        </w:tc>
        <w:tc>
          <w:tcPr>
            <w:tcW w:w="3780" w:type="dxa"/>
            <w:shd w:val="clear" w:color="auto" w:fill="DDD9C3"/>
          </w:tcPr>
          <w:p>
            <w:pPr>
              <w:pStyle w:val="TableParagraph"/>
              <w:spacing w:before="3"/>
              <w:ind w:left="194"/>
              <w:rPr>
                <w:b/>
                <w:sz w:val="22"/>
              </w:rPr>
            </w:pPr>
            <w:r>
              <w:rPr>
                <w:b/>
                <w:sz w:val="22"/>
              </w:rPr>
              <w:t>Facility and PPO Physicians</w:t>
            </w:r>
          </w:p>
        </w:tc>
      </w:tr>
      <w:tr>
        <w:trPr>
          <w:trHeight w:val="795" w:hRule="atLeast"/>
        </w:trPr>
        <w:tc>
          <w:tcPr>
            <w:tcW w:w="4680" w:type="dxa"/>
          </w:tcPr>
          <w:p>
            <w:pPr>
              <w:pStyle w:val="TableParagraph"/>
              <w:spacing w:line="26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Calendar Year Deductible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7" w:val="left" w:leader="none"/>
                <w:tab w:pos="828" w:val="left" w:leader="none"/>
              </w:tabs>
              <w:spacing w:line="267" w:lineRule="exact" w:before="0" w:after="0"/>
              <w:ind w:left="827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Per Covered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Person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7" w:val="left" w:leader="none"/>
                <w:tab w:pos="828" w:val="left" w:leader="none"/>
              </w:tabs>
              <w:spacing w:line="246" w:lineRule="exact" w:before="0" w:after="0"/>
              <w:ind w:left="827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Family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Limit*</w:t>
            </w:r>
          </w:p>
        </w:tc>
        <w:tc>
          <w:tcPr>
            <w:tcW w:w="3780" w:type="dxa"/>
          </w:tcPr>
          <w:p>
            <w:pPr>
              <w:pStyle w:val="TableParagraph"/>
              <w:spacing w:before="5"/>
              <w:ind w:left="0"/>
              <w:rPr>
                <w:b/>
                <w:i/>
                <w:sz w:val="21"/>
              </w:rPr>
            </w:pPr>
          </w:p>
          <w:p>
            <w:pPr>
              <w:pStyle w:val="TableParagraph"/>
              <w:spacing w:line="267" w:lineRule="exact" w:before="1"/>
              <w:ind w:left="1409" w:right="1401"/>
              <w:jc w:val="center"/>
              <w:rPr>
                <w:sz w:val="22"/>
              </w:rPr>
            </w:pPr>
            <w:r>
              <w:rPr>
                <w:sz w:val="22"/>
              </w:rPr>
              <w:t>$3,750</w:t>
            </w:r>
          </w:p>
          <w:p>
            <w:pPr>
              <w:pStyle w:val="TableParagraph"/>
              <w:spacing w:line="247" w:lineRule="exact"/>
              <w:ind w:left="1409" w:right="1401"/>
              <w:jc w:val="center"/>
              <w:rPr>
                <w:sz w:val="22"/>
              </w:rPr>
            </w:pPr>
            <w:r>
              <w:rPr>
                <w:sz w:val="22"/>
              </w:rPr>
              <w:t>$7,500</w:t>
            </w:r>
          </w:p>
        </w:tc>
      </w:tr>
      <w:tr>
        <w:trPr>
          <w:trHeight w:val="1336" w:hRule="atLeast"/>
        </w:trPr>
        <w:tc>
          <w:tcPr>
            <w:tcW w:w="4680" w:type="dxa"/>
          </w:tcPr>
          <w:p>
            <w:pPr>
              <w:pStyle w:val="TableParagraph"/>
              <w:ind w:right="569"/>
              <w:jc w:val="both"/>
              <w:rPr>
                <w:sz w:val="22"/>
              </w:rPr>
            </w:pPr>
            <w:r>
              <w:rPr>
                <w:b/>
                <w:sz w:val="22"/>
              </w:rPr>
              <w:t>Annual Out-of-Pocket Maximum </w:t>
            </w:r>
            <w:r>
              <w:rPr>
                <w:sz w:val="22"/>
              </w:rPr>
              <w:t>(Includes Deductible and ER Copay; Excludes Rx Copays)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9" w:val="left" w:leader="none"/>
              </w:tabs>
              <w:spacing w:line="269" w:lineRule="exact" w:before="0" w:after="0"/>
              <w:ind w:left="828" w:right="0" w:hanging="362"/>
              <w:jc w:val="both"/>
              <w:rPr>
                <w:sz w:val="22"/>
              </w:rPr>
            </w:pPr>
            <w:r>
              <w:rPr>
                <w:sz w:val="22"/>
              </w:rPr>
              <w:t>Per Covered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Person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8" w:val="left" w:leader="none"/>
              </w:tabs>
              <w:spacing w:line="245" w:lineRule="exact" w:before="0" w:after="0"/>
              <w:ind w:left="827" w:right="0" w:hanging="361"/>
              <w:jc w:val="both"/>
              <w:rPr>
                <w:sz w:val="22"/>
              </w:rPr>
            </w:pPr>
            <w:r>
              <w:rPr>
                <w:sz w:val="22"/>
              </w:rPr>
              <w:t>Family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Limit*</w:t>
            </w:r>
          </w:p>
        </w:tc>
        <w:tc>
          <w:tcPr>
            <w:tcW w:w="3780" w:type="dxa"/>
          </w:tcPr>
          <w:p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>
            <w:pPr>
              <w:pStyle w:val="TableParagraph"/>
              <w:spacing w:before="170"/>
              <w:ind w:left="1409" w:right="1401"/>
              <w:jc w:val="center"/>
              <w:rPr>
                <w:sz w:val="22"/>
              </w:rPr>
            </w:pPr>
            <w:r>
              <w:rPr>
                <w:sz w:val="22"/>
              </w:rPr>
              <w:t>$6,350</w:t>
            </w:r>
          </w:p>
          <w:p>
            <w:pPr>
              <w:pStyle w:val="TableParagraph"/>
              <w:spacing w:line="245" w:lineRule="exact" w:before="1"/>
              <w:ind w:left="1409" w:right="1401"/>
              <w:jc w:val="center"/>
              <w:rPr>
                <w:sz w:val="22"/>
              </w:rPr>
            </w:pPr>
            <w:r>
              <w:rPr>
                <w:sz w:val="22"/>
              </w:rPr>
              <w:t>$12,700</w:t>
            </w:r>
          </w:p>
        </w:tc>
      </w:tr>
    </w:tbl>
    <w:p>
      <w:pPr>
        <w:pStyle w:val="BodyText"/>
        <w:spacing w:before="1"/>
        <w:ind w:left="840"/>
      </w:pPr>
      <w:r>
        <w:rPr/>
        <w:drawing>
          <wp:anchor distT="0" distB="0" distL="0" distR="0" allowOverlap="1" layoutInCell="1" locked="0" behindDoc="1" simplePos="0" relativeHeight="251234304">
            <wp:simplePos x="0" y="0"/>
            <wp:positionH relativeFrom="page">
              <wp:posOffset>1007515</wp:posOffset>
            </wp:positionH>
            <wp:positionV relativeFrom="paragraph">
              <wp:posOffset>-1204613</wp:posOffset>
            </wp:positionV>
            <wp:extent cx="5709608" cy="5494918"/>
            <wp:effectExtent l="0" t="0" r="0" b="0"/>
            <wp:wrapNone/>
            <wp:docPr id="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608" cy="5494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*Applies collectively to all Covered Persons in the same Family.</w:t>
      </w:r>
    </w:p>
    <w:p>
      <w:pPr>
        <w:pStyle w:val="BodyText"/>
        <w:rPr>
          <w:sz w:val="26"/>
        </w:rPr>
      </w:pPr>
    </w:p>
    <w:p>
      <w:pPr>
        <w:pStyle w:val="Heading1"/>
        <w:spacing w:before="171"/>
        <w:ind w:firstLine="0"/>
      </w:pPr>
      <w:r>
        <w:rPr/>
        <w:t>Level II – Physician Benefits – Payment Levels and Limits</w:t>
      </w:r>
    </w:p>
    <w:p>
      <w:pPr>
        <w:pStyle w:val="BodyText"/>
        <w:spacing w:before="1" w:after="1"/>
        <w:rPr>
          <w:b/>
        </w:rPr>
      </w:pPr>
    </w:p>
    <w:tbl>
      <w:tblPr>
        <w:tblW w:w="0" w:type="auto"/>
        <w:jc w:val="left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3780"/>
      </w:tblGrid>
      <w:tr>
        <w:trPr>
          <w:trHeight w:val="268" w:hRule="atLeast"/>
        </w:trPr>
        <w:tc>
          <w:tcPr>
            <w:tcW w:w="4680" w:type="dxa"/>
            <w:shd w:val="clear" w:color="auto" w:fill="DDD9C3"/>
          </w:tcPr>
          <w:p>
            <w:pPr>
              <w:pStyle w:val="TableParagraph"/>
              <w:spacing w:line="248" w:lineRule="exact"/>
              <w:ind w:left="1238"/>
              <w:rPr>
                <w:b/>
                <w:sz w:val="22"/>
              </w:rPr>
            </w:pPr>
            <w:r>
              <w:rPr>
                <w:b/>
                <w:sz w:val="22"/>
              </w:rPr>
              <w:t>Benefit Percentage For:</w:t>
            </w:r>
          </w:p>
        </w:tc>
        <w:tc>
          <w:tcPr>
            <w:tcW w:w="3780" w:type="dxa"/>
            <w:shd w:val="clear" w:color="auto" w:fill="DDD9C3"/>
          </w:tcPr>
          <w:p>
            <w:pPr>
              <w:pStyle w:val="TableParagraph"/>
              <w:spacing w:line="248" w:lineRule="exact"/>
              <w:ind w:left="1154"/>
              <w:rPr>
                <w:b/>
                <w:sz w:val="22"/>
              </w:rPr>
            </w:pPr>
            <w:r>
              <w:rPr>
                <w:b/>
                <w:sz w:val="22"/>
              </w:rPr>
              <w:t>PPO Benefit</w:t>
            </w:r>
          </w:p>
        </w:tc>
      </w:tr>
      <w:tr>
        <w:trPr>
          <w:trHeight w:val="534" w:hRule="atLeast"/>
        </w:trPr>
        <w:tc>
          <w:tcPr>
            <w:tcW w:w="4680" w:type="dxa"/>
          </w:tcPr>
          <w:p>
            <w:pPr>
              <w:pStyle w:val="TableParagraph"/>
              <w:spacing w:line="26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Physician Hospital Visits/Surgeon</w:t>
            </w:r>
          </w:p>
        </w:tc>
        <w:tc>
          <w:tcPr>
            <w:tcW w:w="3780" w:type="dxa"/>
          </w:tcPr>
          <w:p>
            <w:pPr>
              <w:pStyle w:val="TableParagraph"/>
              <w:spacing w:line="266" w:lineRule="exact" w:before="5"/>
              <w:ind w:right="1625"/>
              <w:rPr>
                <w:sz w:val="22"/>
              </w:rPr>
            </w:pPr>
            <w:r>
              <w:rPr>
                <w:sz w:val="22"/>
              </w:rPr>
              <w:t>60% of PPO rate Deductible applies</w:t>
            </w:r>
          </w:p>
        </w:tc>
      </w:tr>
      <w:tr>
        <w:trPr>
          <w:trHeight w:val="532" w:hRule="atLeast"/>
        </w:trPr>
        <w:tc>
          <w:tcPr>
            <w:tcW w:w="4680" w:type="dxa"/>
          </w:tcPr>
          <w:p>
            <w:pPr>
              <w:pStyle w:val="TableParagraph"/>
              <w:spacing w:line="266" w:lineRule="exact" w:before="3"/>
              <w:rPr>
                <w:sz w:val="22"/>
              </w:rPr>
            </w:pPr>
            <w:r>
              <w:rPr>
                <w:b/>
                <w:sz w:val="22"/>
              </w:rPr>
              <w:t>Office Visit </w:t>
            </w:r>
            <w:r>
              <w:rPr>
                <w:sz w:val="22"/>
              </w:rPr>
              <w:t>(including Office Surgery and Lab and X-ray)</w:t>
            </w:r>
          </w:p>
        </w:tc>
        <w:tc>
          <w:tcPr>
            <w:tcW w:w="3780" w:type="dxa"/>
          </w:tcPr>
          <w:p>
            <w:pPr>
              <w:pStyle w:val="TableParagraph"/>
              <w:spacing w:line="266" w:lineRule="exact" w:before="3"/>
              <w:ind w:right="1625"/>
              <w:rPr>
                <w:sz w:val="22"/>
              </w:rPr>
            </w:pPr>
            <w:r>
              <w:rPr>
                <w:sz w:val="22"/>
              </w:rPr>
              <w:t>60% of PPO rate Deductible applies</w:t>
            </w:r>
          </w:p>
        </w:tc>
      </w:tr>
      <w:tr>
        <w:trPr>
          <w:trHeight w:val="2135" w:hRule="atLeast"/>
        </w:trPr>
        <w:tc>
          <w:tcPr>
            <w:tcW w:w="468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22"/>
              </w:rPr>
              <w:t>Lab and X-ray </w:t>
            </w:r>
            <w:r>
              <w:rPr>
                <w:sz w:val="22"/>
              </w:rPr>
              <w:t>(Outpatient Hospital, freestanding facility or independent lab)</w:t>
            </w:r>
          </w:p>
          <w:p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right="446"/>
              <w:rPr>
                <w:sz w:val="22"/>
              </w:rPr>
            </w:pPr>
            <w:r>
              <w:rPr>
                <w:sz w:val="22"/>
              </w:rPr>
              <w:t>Select Diagnostic Medical Procedures (CT scans, MRIs, PET scans, etc.)</w:t>
            </w:r>
          </w:p>
          <w:p>
            <w:pPr>
              <w:pStyle w:val="TableParagraph"/>
              <w:spacing w:before="12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All Other Lab/X-ray</w:t>
            </w:r>
          </w:p>
        </w:tc>
        <w:tc>
          <w:tcPr>
            <w:tcW w:w="3780" w:type="dxa"/>
          </w:tcPr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164"/>
              <w:ind w:right="1625"/>
              <w:rPr>
                <w:sz w:val="22"/>
              </w:rPr>
            </w:pPr>
            <w:r>
              <w:rPr>
                <w:sz w:val="22"/>
              </w:rPr>
              <w:t>60% of PPO rate Deductible applies</w:t>
            </w:r>
          </w:p>
          <w:p>
            <w:pPr>
              <w:pStyle w:val="TableParagraph"/>
              <w:spacing w:before="12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60% of PPO rate</w:t>
            </w:r>
          </w:p>
          <w:p>
            <w:pPr>
              <w:pStyle w:val="TableParagraph"/>
              <w:spacing w:line="249" w:lineRule="exact" w:before="1"/>
              <w:rPr>
                <w:sz w:val="22"/>
              </w:rPr>
            </w:pPr>
            <w:r>
              <w:rPr>
                <w:sz w:val="22"/>
              </w:rPr>
              <w:t>Copay and Deductible applies</w:t>
            </w:r>
          </w:p>
        </w:tc>
      </w:tr>
    </w:tbl>
    <w:p>
      <w:pPr>
        <w:pStyle w:val="BodyText"/>
        <w:spacing w:before="10"/>
        <w:rPr>
          <w:b/>
          <w:sz w:val="21"/>
        </w:rPr>
      </w:pPr>
    </w:p>
    <w:p>
      <w:pPr>
        <w:spacing w:before="0"/>
        <w:ind w:left="839" w:right="0" w:firstLine="0"/>
        <w:jc w:val="left"/>
        <w:rPr>
          <w:b/>
          <w:sz w:val="22"/>
        </w:rPr>
      </w:pPr>
      <w:r>
        <w:rPr>
          <w:b/>
          <w:sz w:val="22"/>
        </w:rPr>
        <w:t>See Section D for Preventative Benefits.</w:t>
      </w:r>
    </w:p>
    <w:p>
      <w:pPr>
        <w:spacing w:after="0"/>
        <w:jc w:val="left"/>
        <w:rPr>
          <w:sz w:val="22"/>
        </w:rPr>
        <w:sectPr>
          <w:pgSz w:w="12240" w:h="15840"/>
          <w:pgMar w:header="0" w:footer="794" w:top="1360" w:bottom="980" w:left="1320" w:right="1320"/>
        </w:sectPr>
      </w:pPr>
    </w:p>
    <w:p>
      <w:pPr>
        <w:pStyle w:val="BodyText"/>
        <w:spacing w:before="5"/>
        <w:rPr>
          <w:b/>
          <w:sz w:val="8"/>
        </w:rPr>
      </w:pPr>
    </w:p>
    <w:p>
      <w:pPr>
        <w:pStyle w:val="ListParagraph"/>
        <w:numPr>
          <w:ilvl w:val="1"/>
          <w:numId w:val="1"/>
        </w:numPr>
        <w:tabs>
          <w:tab w:pos="841" w:val="left" w:leader="none"/>
        </w:tabs>
        <w:spacing w:line="240" w:lineRule="auto" w:before="101" w:after="0"/>
        <w:ind w:left="840" w:right="0" w:hanging="361"/>
        <w:jc w:val="left"/>
        <w:rPr>
          <w:b/>
          <w:sz w:val="22"/>
        </w:rPr>
      </w:pPr>
      <w:r>
        <w:rPr>
          <w:b/>
          <w:sz w:val="22"/>
        </w:rPr>
        <w:t>Preventive and Wellness Care – </w:t>
      </w:r>
      <w:r>
        <w:rPr>
          <w:b/>
          <w:sz w:val="22"/>
          <w:u w:val="thick"/>
        </w:rPr>
        <w:t>Identical for all</w:t>
      </w:r>
      <w:r>
        <w:rPr>
          <w:b/>
          <w:spacing w:val="-13"/>
          <w:sz w:val="22"/>
          <w:u w:val="thick"/>
        </w:rPr>
        <w:t> </w:t>
      </w:r>
      <w:r>
        <w:rPr>
          <w:b/>
          <w:sz w:val="22"/>
          <w:u w:val="thick"/>
        </w:rPr>
        <w:t>plans</w:t>
      </w:r>
    </w:p>
    <w:p>
      <w:pPr>
        <w:pStyle w:val="BodyText"/>
        <w:spacing w:before="2"/>
        <w:rPr>
          <w:b/>
        </w:rPr>
      </w:pPr>
    </w:p>
    <w:p>
      <w:pPr>
        <w:spacing w:before="0"/>
        <w:ind w:left="840" w:right="0" w:firstLine="360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1" simplePos="0" relativeHeight="251235328">
            <wp:simplePos x="0" y="0"/>
            <wp:positionH relativeFrom="page">
              <wp:posOffset>1007515</wp:posOffset>
            </wp:positionH>
            <wp:positionV relativeFrom="paragraph">
              <wp:posOffset>903019</wp:posOffset>
            </wp:positionV>
            <wp:extent cx="5709608" cy="5494918"/>
            <wp:effectExtent l="0" t="0" r="0" b="0"/>
            <wp:wrapNone/>
            <wp:docPr id="1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608" cy="5494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THIS INFORMATION WAS AT THE TIME OF THE ROLLOUT OF THE AGREEMENT. PLEASE CALL TO VERIFY BENEFITS PLAN</w:t>
      </w:r>
    </w:p>
    <w:p>
      <w:pPr>
        <w:pStyle w:val="BodyText"/>
        <w:spacing w:before="2"/>
        <w:rPr>
          <w:b/>
          <w:sz w:val="24"/>
        </w:rPr>
      </w:pPr>
    </w:p>
    <w:tbl>
      <w:tblPr>
        <w:tblW w:w="0" w:type="auto"/>
        <w:jc w:val="left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54"/>
        <w:gridCol w:w="2232"/>
        <w:gridCol w:w="2057"/>
        <w:gridCol w:w="2148"/>
      </w:tblGrid>
      <w:tr>
        <w:trPr>
          <w:trHeight w:val="1336" w:hRule="atLeast"/>
        </w:trPr>
        <w:tc>
          <w:tcPr>
            <w:tcW w:w="8791" w:type="dxa"/>
            <w:gridSpan w:val="4"/>
            <w:shd w:val="clear" w:color="auto" w:fill="DDD9C3"/>
          </w:tcPr>
          <w:p>
            <w:pPr>
              <w:pStyle w:val="TableParagraph"/>
              <w:spacing w:line="264" w:lineRule="exact"/>
              <w:ind w:left="2008"/>
              <w:rPr>
                <w:b/>
                <w:sz w:val="22"/>
              </w:rPr>
            </w:pPr>
            <w:r>
              <w:rPr>
                <w:b/>
                <w:sz w:val="22"/>
              </w:rPr>
              <w:t>Preventive and Wellness Care Benefits</w:t>
            </w:r>
          </w:p>
          <w:p>
            <w:pPr>
              <w:pStyle w:val="TableParagraph"/>
              <w:ind w:right="182"/>
              <w:rPr>
                <w:sz w:val="22"/>
              </w:rPr>
            </w:pPr>
            <w:r>
              <w:rPr>
                <w:sz w:val="22"/>
              </w:rPr>
              <w:t>This benefit is payable for Covered Procedures incurred as part of a Preventive and Wellness Care Program and is not payable for treatment of a diagnosed illness or injury. Services must be identified and billed as routine</w:t>
            </w:r>
          </w:p>
          <w:p>
            <w:pPr>
              <w:pStyle w:val="TableParagraph"/>
              <w:spacing w:line="249" w:lineRule="exact" w:before="1"/>
              <w:rPr>
                <w:sz w:val="22"/>
              </w:rPr>
            </w:pPr>
            <w:r>
              <w:rPr>
                <w:sz w:val="22"/>
              </w:rPr>
              <w:t>or part of a routine physical exam/or as specified below.</w:t>
            </w:r>
          </w:p>
        </w:tc>
      </w:tr>
      <w:tr>
        <w:trPr>
          <w:trHeight w:val="801" w:hRule="atLeast"/>
        </w:trPr>
        <w:tc>
          <w:tcPr>
            <w:tcW w:w="2354" w:type="dxa"/>
            <w:shd w:val="clear" w:color="auto" w:fill="DDD9C3"/>
          </w:tcPr>
          <w:p>
            <w:pPr>
              <w:pStyle w:val="TableParagraph"/>
              <w:spacing w:line="242" w:lineRule="auto"/>
              <w:ind w:right="253"/>
              <w:rPr>
                <w:b/>
                <w:sz w:val="22"/>
              </w:rPr>
            </w:pPr>
            <w:r>
              <w:rPr>
                <w:b/>
                <w:sz w:val="22"/>
              </w:rPr>
              <w:t>Benefit Percentage For:</w:t>
            </w:r>
          </w:p>
        </w:tc>
        <w:tc>
          <w:tcPr>
            <w:tcW w:w="2232" w:type="dxa"/>
            <w:shd w:val="clear" w:color="auto" w:fill="DDD9C3"/>
          </w:tcPr>
          <w:p>
            <w:pPr>
              <w:pStyle w:val="TableParagraph"/>
              <w:spacing w:line="242" w:lineRule="auto"/>
              <w:ind w:left="381" w:right="351" w:firstLine="249"/>
              <w:rPr>
                <w:b/>
                <w:sz w:val="22"/>
              </w:rPr>
            </w:pPr>
            <w:r>
              <w:rPr>
                <w:b/>
                <w:sz w:val="22"/>
              </w:rPr>
              <w:t>Level II PPO Benefit</w:t>
            </w:r>
          </w:p>
        </w:tc>
        <w:tc>
          <w:tcPr>
            <w:tcW w:w="2057" w:type="dxa"/>
            <w:shd w:val="clear" w:color="auto" w:fill="DDD9C3"/>
          </w:tcPr>
          <w:p>
            <w:pPr>
              <w:pStyle w:val="TableParagraph"/>
              <w:spacing w:line="242" w:lineRule="auto"/>
              <w:ind w:left="473" w:right="461" w:firstLine="72"/>
              <w:rPr>
                <w:b/>
                <w:sz w:val="22"/>
              </w:rPr>
            </w:pPr>
            <w:r>
              <w:rPr>
                <w:b/>
                <w:sz w:val="22"/>
              </w:rPr>
              <w:t>Level II Non-PPO</w:t>
            </w:r>
          </w:p>
          <w:p>
            <w:pPr>
              <w:pStyle w:val="TableParagraph"/>
              <w:spacing w:line="244" w:lineRule="exact"/>
              <w:ind w:left="585"/>
              <w:rPr>
                <w:b/>
                <w:sz w:val="22"/>
              </w:rPr>
            </w:pPr>
            <w:r>
              <w:rPr>
                <w:b/>
                <w:sz w:val="22"/>
              </w:rPr>
              <w:t>Benefit</w:t>
            </w:r>
          </w:p>
        </w:tc>
        <w:tc>
          <w:tcPr>
            <w:tcW w:w="2148" w:type="dxa"/>
            <w:shd w:val="clear" w:color="auto" w:fill="DDD9C3"/>
          </w:tcPr>
          <w:p>
            <w:pPr>
              <w:pStyle w:val="TableParagraph"/>
              <w:spacing w:line="242" w:lineRule="auto"/>
              <w:ind w:left="431" w:right="403" w:firstLine="132"/>
              <w:rPr>
                <w:b/>
                <w:sz w:val="22"/>
              </w:rPr>
            </w:pPr>
            <w:r>
              <w:rPr>
                <w:b/>
                <w:sz w:val="22"/>
              </w:rPr>
              <w:t>Limits &amp; Provisions</w:t>
            </w:r>
          </w:p>
        </w:tc>
      </w:tr>
      <w:tr>
        <w:trPr>
          <w:trHeight w:val="1506" w:hRule="atLeast"/>
        </w:trPr>
        <w:tc>
          <w:tcPr>
            <w:tcW w:w="2354" w:type="dxa"/>
          </w:tcPr>
          <w:p>
            <w:pPr>
              <w:pStyle w:val="TableParagraph"/>
              <w:ind w:right="279"/>
              <w:rPr>
                <w:sz w:val="22"/>
              </w:rPr>
            </w:pPr>
            <w:r>
              <w:rPr>
                <w:sz w:val="22"/>
              </w:rPr>
              <w:t>All Covered Wellness Benefits</w:t>
            </w:r>
          </w:p>
        </w:tc>
        <w:tc>
          <w:tcPr>
            <w:tcW w:w="2232" w:type="dxa"/>
          </w:tcPr>
          <w:p>
            <w:pPr>
              <w:pStyle w:val="TableParagraph"/>
              <w:ind w:left="108" w:right="78"/>
              <w:rPr>
                <w:sz w:val="22"/>
              </w:rPr>
            </w:pPr>
            <w:r>
              <w:rPr>
                <w:sz w:val="22"/>
              </w:rPr>
              <w:t>100% of PPO rate Copay and Deductible waived</w:t>
            </w:r>
          </w:p>
        </w:tc>
        <w:tc>
          <w:tcPr>
            <w:tcW w:w="2057" w:type="dxa"/>
          </w:tcPr>
          <w:p>
            <w:pPr>
              <w:pStyle w:val="TableParagraph"/>
              <w:ind w:left="108" w:right="262"/>
              <w:rPr>
                <w:sz w:val="22"/>
              </w:rPr>
            </w:pPr>
            <w:r>
              <w:rPr>
                <w:sz w:val="22"/>
              </w:rPr>
              <w:t>60% of Usual and </w:t>
            </w:r>
            <w:r>
              <w:rPr>
                <w:spacing w:val="-3"/>
                <w:sz w:val="22"/>
              </w:rPr>
              <w:t>Customary </w:t>
            </w:r>
            <w:r>
              <w:rPr>
                <w:sz w:val="22"/>
              </w:rPr>
              <w:t>fees Deductible applies</w:t>
            </w:r>
          </w:p>
        </w:tc>
        <w:tc>
          <w:tcPr>
            <w:tcW w:w="2148" w:type="dxa"/>
          </w:tcPr>
          <w:p>
            <w:pPr>
              <w:pStyle w:val="TableParagraph"/>
              <w:ind w:right="113"/>
              <w:rPr>
                <w:sz w:val="22"/>
              </w:rPr>
            </w:pPr>
            <w:r>
              <w:rPr>
                <w:sz w:val="22"/>
              </w:rPr>
              <w:t>See age and frequency limits and other special provisions below</w:t>
            </w:r>
          </w:p>
        </w:tc>
      </w:tr>
      <w:tr>
        <w:trPr>
          <w:trHeight w:val="5786" w:hRule="atLeast"/>
        </w:trPr>
        <w:tc>
          <w:tcPr>
            <w:tcW w:w="8791" w:type="dxa"/>
            <w:gridSpan w:val="4"/>
          </w:tcPr>
          <w:p>
            <w:pPr>
              <w:pStyle w:val="TableParagraph"/>
              <w:ind w:right="3415"/>
              <w:rPr>
                <w:b/>
                <w:sz w:val="22"/>
              </w:rPr>
            </w:pPr>
            <w:r>
              <w:rPr>
                <w:b/>
                <w:sz w:val="22"/>
              </w:rPr>
              <w:t>Examples of Covered Wellness Procedures To Include but are not limited to:</w:t>
            </w:r>
          </w:p>
          <w:p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7" w:val="left" w:leader="none"/>
                <w:tab w:pos="828" w:val="left" w:leader="none"/>
              </w:tabs>
              <w:spacing w:line="267" w:lineRule="exact" w:before="0" w:after="0"/>
              <w:ind w:left="827" w:right="0" w:hanging="558"/>
              <w:jc w:val="left"/>
              <w:rPr>
                <w:sz w:val="22"/>
              </w:rPr>
            </w:pPr>
            <w:r>
              <w:rPr>
                <w:sz w:val="22"/>
              </w:rPr>
              <w:t>Routine Physical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Exam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7" w:val="left" w:leader="none"/>
                <w:tab w:pos="828" w:val="left" w:leader="none"/>
              </w:tabs>
              <w:spacing w:line="267" w:lineRule="exact" w:before="0" w:after="0"/>
              <w:ind w:left="827" w:right="0" w:hanging="558"/>
              <w:jc w:val="left"/>
              <w:rPr>
                <w:sz w:val="22"/>
              </w:rPr>
            </w:pPr>
            <w:r>
              <w:rPr>
                <w:sz w:val="22"/>
              </w:rPr>
              <w:t>Annual Well Woman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Exam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7" w:val="left" w:leader="none"/>
                <w:tab w:pos="829" w:val="left" w:leader="none"/>
              </w:tabs>
              <w:spacing w:line="267" w:lineRule="exact" w:before="1" w:after="0"/>
              <w:ind w:left="828" w:right="0" w:hanging="558"/>
              <w:jc w:val="left"/>
              <w:rPr>
                <w:sz w:val="22"/>
              </w:rPr>
            </w:pPr>
            <w:r>
              <w:rPr>
                <w:sz w:val="22"/>
              </w:rPr>
              <w:t>Annual PAP Smear and other routine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lab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7" w:val="left" w:leader="none"/>
                <w:tab w:pos="829" w:val="left" w:leader="none"/>
              </w:tabs>
              <w:spacing w:line="267" w:lineRule="exact" w:before="0" w:after="0"/>
              <w:ind w:left="828" w:right="0" w:hanging="558"/>
              <w:jc w:val="left"/>
              <w:rPr>
                <w:sz w:val="22"/>
              </w:rPr>
            </w:pPr>
            <w:r>
              <w:rPr>
                <w:sz w:val="22"/>
              </w:rPr>
              <w:t>Annual Mammogram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(routine)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8" w:val="left" w:leader="none"/>
                <w:tab w:pos="829" w:val="left" w:leader="none"/>
              </w:tabs>
              <w:spacing w:line="267" w:lineRule="exact" w:before="0" w:after="0"/>
              <w:ind w:left="828" w:right="0" w:hanging="558"/>
              <w:jc w:val="left"/>
              <w:rPr>
                <w:sz w:val="22"/>
              </w:rPr>
            </w:pPr>
            <w:r>
              <w:rPr>
                <w:sz w:val="22"/>
              </w:rPr>
              <w:t>Bone Density test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(routine)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8" w:val="left" w:leader="none"/>
                <w:tab w:pos="829" w:val="left" w:leader="none"/>
              </w:tabs>
              <w:spacing w:line="267" w:lineRule="exact" w:before="1" w:after="0"/>
              <w:ind w:left="828" w:right="0" w:hanging="558"/>
              <w:jc w:val="left"/>
              <w:rPr>
                <w:sz w:val="22"/>
              </w:rPr>
            </w:pPr>
            <w:r>
              <w:rPr>
                <w:sz w:val="22"/>
              </w:rPr>
              <w:t>Annual PSA test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(routine)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8" w:val="left" w:leader="none"/>
                <w:tab w:pos="829" w:val="left" w:leader="none"/>
              </w:tabs>
              <w:spacing w:line="267" w:lineRule="exact" w:before="0" w:after="0"/>
              <w:ind w:left="828" w:right="0" w:hanging="558"/>
              <w:jc w:val="left"/>
              <w:rPr>
                <w:sz w:val="22"/>
              </w:rPr>
            </w:pPr>
            <w:r>
              <w:rPr>
                <w:sz w:val="22"/>
              </w:rPr>
              <w:t>Well Baby Care Exam/Well Child Care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Exam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8" w:val="left" w:leader="none"/>
                <w:tab w:pos="829" w:val="left" w:leader="none"/>
              </w:tabs>
              <w:spacing w:line="267" w:lineRule="exact" w:before="2" w:after="0"/>
              <w:ind w:left="828" w:right="0" w:hanging="558"/>
              <w:jc w:val="left"/>
              <w:rPr>
                <w:sz w:val="22"/>
              </w:rPr>
            </w:pPr>
            <w:r>
              <w:rPr>
                <w:sz w:val="22"/>
              </w:rPr>
              <w:t>Routine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immunizations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8" w:val="left" w:leader="none"/>
                <w:tab w:pos="829" w:val="left" w:leader="none"/>
              </w:tabs>
              <w:spacing w:line="267" w:lineRule="exact" w:before="0" w:after="0"/>
              <w:ind w:left="828" w:right="0" w:hanging="558"/>
              <w:jc w:val="left"/>
              <w:rPr>
                <w:sz w:val="22"/>
              </w:rPr>
            </w:pPr>
            <w:r>
              <w:rPr>
                <w:sz w:val="22"/>
              </w:rPr>
              <w:t>Flu vaccine/pneumonia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vaccine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11" w:val="left" w:leader="none"/>
                <w:tab w:pos="812" w:val="left" w:leader="none"/>
              </w:tabs>
              <w:spacing w:line="267" w:lineRule="exact" w:before="1" w:after="0"/>
              <w:ind w:left="811" w:right="0" w:hanging="560"/>
              <w:jc w:val="left"/>
              <w:rPr>
                <w:sz w:val="22"/>
              </w:rPr>
            </w:pPr>
            <w:r>
              <w:rPr>
                <w:sz w:val="22"/>
              </w:rPr>
              <w:t>Routine lab, x-ray, diagnostic testing and other medical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screenings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9" w:val="left" w:leader="none"/>
              </w:tabs>
              <w:spacing w:line="267" w:lineRule="exact" w:before="0" w:after="0"/>
              <w:ind w:left="828" w:right="0" w:hanging="558"/>
              <w:jc w:val="left"/>
              <w:rPr>
                <w:sz w:val="22"/>
              </w:rPr>
            </w:pPr>
            <w:r>
              <w:rPr>
                <w:sz w:val="22"/>
              </w:rPr>
              <w:t>Routine Vision and Hearing Screenings (to age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19)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9" w:val="left" w:leader="none"/>
              </w:tabs>
              <w:spacing w:line="267" w:lineRule="exact" w:before="0" w:after="0"/>
              <w:ind w:left="828" w:right="0" w:hanging="558"/>
              <w:jc w:val="left"/>
              <w:rPr>
                <w:sz w:val="22"/>
              </w:rPr>
            </w:pPr>
            <w:r>
              <w:rPr>
                <w:sz w:val="22"/>
              </w:rPr>
              <w:t>Annual Hearing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Exam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9" w:val="left" w:leader="none"/>
              </w:tabs>
              <w:spacing w:line="240" w:lineRule="auto" w:before="1" w:after="0"/>
              <w:ind w:left="828" w:right="158" w:hanging="557"/>
              <w:jc w:val="left"/>
              <w:rPr>
                <w:sz w:val="22"/>
              </w:rPr>
            </w:pPr>
            <w:r>
              <w:rPr>
                <w:sz w:val="22"/>
              </w:rPr>
              <w:t>Smoking/Tobacco Use Cessation (limited to 1 Office Visit per Calendar Year)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9" w:val="left" w:leader="none"/>
              </w:tabs>
              <w:spacing w:line="240" w:lineRule="auto" w:before="1" w:after="0"/>
              <w:ind w:left="828" w:right="890" w:hanging="557"/>
              <w:jc w:val="left"/>
              <w:rPr>
                <w:sz w:val="22"/>
              </w:rPr>
            </w:pPr>
            <w:r>
              <w:rPr>
                <w:sz w:val="22"/>
              </w:rPr>
              <w:t>All FDA-approved Women’s Contraceptive</w:t>
            </w:r>
            <w:r>
              <w:rPr>
                <w:spacing w:val="-25"/>
                <w:sz w:val="22"/>
              </w:rPr>
              <w:t> </w:t>
            </w:r>
            <w:r>
              <w:rPr>
                <w:sz w:val="22"/>
              </w:rPr>
              <w:t>methods/Sterilization procedures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8" w:val="left" w:leader="none"/>
              </w:tabs>
              <w:spacing w:line="240" w:lineRule="auto" w:before="0" w:after="0"/>
              <w:ind w:left="827" w:right="437" w:hanging="557"/>
              <w:jc w:val="left"/>
              <w:rPr>
                <w:sz w:val="22"/>
              </w:rPr>
            </w:pPr>
            <w:r>
              <w:rPr>
                <w:sz w:val="22"/>
              </w:rPr>
              <w:t>Routine Colonoscopy (includes polyp removal) – age 50 and older – one per 10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years</w:t>
            </w:r>
          </w:p>
        </w:tc>
      </w:tr>
    </w:tbl>
    <w:sectPr>
      <w:pgSz w:w="12240" w:h="15840"/>
      <w:pgMar w:header="0" w:footer="794" w:top="1500" w:bottom="9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pt;margin-top:741.306641pt;width:56.25pt;height:15.3pt;mso-position-horizontal-relative:page;mso-position-vertical-relative:page;z-index:-252086272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Page </w:t>
                </w: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sz w:val="24"/>
                  </w:rPr>
                  <w:t> of 6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decimal"/>
      <w:lvlText w:val="%1."/>
      <w:lvlJc w:val="left"/>
      <w:pPr>
        <w:ind w:left="827" w:hanging="557"/>
        <w:jc w:val="left"/>
      </w:pPr>
      <w:rPr>
        <w:rFonts w:hint="default" w:ascii="Verdana" w:hAnsi="Verdana" w:eastAsia="Verdana" w:cs="Verdana"/>
        <w:spacing w:val="-2"/>
        <w:w w:val="100"/>
        <w:sz w:val="22"/>
        <w:szCs w:val="22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616" w:hanging="557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2412" w:hanging="557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3208" w:hanging="557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4004" w:hanging="557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4800" w:hanging="557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5596" w:hanging="557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6392" w:hanging="557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7188" w:hanging="557"/>
      </w:pPr>
      <w:rPr>
        <w:rFonts w:hint="default"/>
        <w:lang w:val="en-us" w:eastAsia="en-us" w:bidi="en-us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828" w:hanging="361"/>
      </w:pPr>
      <w:rPr>
        <w:rFonts w:hint="default" w:ascii="Symbol" w:hAnsi="Symbol" w:eastAsia="Symbol" w:cs="Symbol"/>
        <w:w w:val="100"/>
        <w:sz w:val="22"/>
        <w:szCs w:val="22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205" w:hanging="36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90" w:hanging="36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975" w:hanging="36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360" w:hanging="36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745" w:hanging="36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130" w:hanging="36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515" w:hanging="36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900" w:hanging="361"/>
      </w:pPr>
      <w:rPr>
        <w:rFonts w:hint="default"/>
        <w:lang w:val="en-us" w:eastAsia="en-us" w:bidi="en-us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2"/>
        <w:szCs w:val="22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205" w:hanging="36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90" w:hanging="36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975" w:hanging="36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360" w:hanging="36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745" w:hanging="36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130" w:hanging="36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515" w:hanging="36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900" w:hanging="361"/>
      </w:pPr>
      <w:rPr>
        <w:rFonts w:hint="default"/>
        <w:lang w:val="en-us" w:eastAsia="en-us" w:bidi="en-us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828" w:hanging="361"/>
      </w:pPr>
      <w:rPr>
        <w:rFonts w:hint="default" w:ascii="Symbol" w:hAnsi="Symbol" w:eastAsia="Symbol" w:cs="Symbol"/>
        <w:w w:val="100"/>
        <w:sz w:val="22"/>
        <w:szCs w:val="22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205" w:hanging="36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90" w:hanging="36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975" w:hanging="36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360" w:hanging="36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745" w:hanging="36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130" w:hanging="36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515" w:hanging="36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900" w:hanging="361"/>
      </w:pPr>
      <w:rPr>
        <w:rFonts w:hint="default"/>
        <w:lang w:val="en-us" w:eastAsia="en-us" w:bidi="en-us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2"/>
        <w:szCs w:val="22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205" w:hanging="36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90" w:hanging="36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975" w:hanging="36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360" w:hanging="36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745" w:hanging="36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130" w:hanging="36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515" w:hanging="36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900" w:hanging="361"/>
      </w:pPr>
      <w:rPr>
        <w:rFonts w:hint="default"/>
        <w:lang w:val="en-us" w:eastAsia="en-us" w:bidi="en-us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28" w:hanging="361"/>
      </w:pPr>
      <w:rPr>
        <w:rFonts w:hint="default" w:ascii="Symbol" w:hAnsi="Symbol" w:eastAsia="Symbol" w:cs="Symbol"/>
        <w:w w:val="100"/>
        <w:sz w:val="22"/>
        <w:szCs w:val="22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205" w:hanging="36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90" w:hanging="36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975" w:hanging="36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360" w:hanging="36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745" w:hanging="36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130" w:hanging="36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515" w:hanging="36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900" w:hanging="361"/>
      </w:pPr>
      <w:rPr>
        <w:rFonts w:hint="default"/>
        <w:lang w:val="en-us" w:eastAsia="en-us" w:bidi="en-us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2"/>
        <w:szCs w:val="22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205" w:hanging="36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590" w:hanging="36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975" w:hanging="36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360" w:hanging="36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745" w:hanging="36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130" w:hanging="36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515" w:hanging="36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3900" w:hanging="361"/>
      </w:pPr>
      <w:rPr>
        <w:rFonts w:hint="default"/>
        <w:lang w:val="en-us" w:eastAsia="en-us" w:bidi="en-us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840" w:hanging="720"/>
        <w:jc w:val="left"/>
      </w:pPr>
      <w:rPr>
        <w:rFonts w:hint="default" w:ascii="Verdana" w:hAnsi="Verdana" w:eastAsia="Verdana" w:cs="Verdana"/>
        <w:b/>
        <w:bCs/>
        <w:w w:val="99"/>
        <w:sz w:val="24"/>
        <w:szCs w:val="24"/>
        <w:lang w:val="en-us" w:eastAsia="en-us" w:bidi="en-us"/>
      </w:rPr>
    </w:lvl>
    <w:lvl w:ilvl="1">
      <w:start w:val="1"/>
      <w:numFmt w:val="upperLetter"/>
      <w:lvlText w:val="%2."/>
      <w:lvlJc w:val="left"/>
      <w:pPr>
        <w:ind w:left="840" w:hanging="360"/>
        <w:jc w:val="right"/>
      </w:pPr>
      <w:rPr>
        <w:rFonts w:hint="default"/>
        <w:b/>
        <w:bCs/>
        <w:spacing w:val="-1"/>
        <w:w w:val="100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220" w:hanging="360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267" w:hanging="360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3315" w:hanging="360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4362" w:hanging="360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5410" w:hanging="360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6457" w:hanging="360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7505" w:hanging="360"/>
      </w:pPr>
      <w:rPr>
        <w:rFonts w:hint="default"/>
        <w:lang w:val="en-us" w:eastAsia="en-us" w:bidi="en-us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en-us" w:eastAsia="en-us" w:bidi="en-us"/>
    </w:rPr>
  </w:style>
  <w:style w:styleId="Heading1" w:type="paragraph">
    <w:name w:val="Heading 1"/>
    <w:basedOn w:val="Normal"/>
    <w:uiPriority w:val="1"/>
    <w:qFormat/>
    <w:pPr>
      <w:ind w:left="840" w:hanging="720"/>
      <w:outlineLvl w:val="1"/>
    </w:pPr>
    <w:rPr>
      <w:rFonts w:ascii="Verdana" w:hAnsi="Verdana" w:eastAsia="Verdana" w:cs="Verdana"/>
      <w:b/>
      <w:bCs/>
      <w:sz w:val="24"/>
      <w:szCs w:val="24"/>
      <w:lang w:val="en-us" w:eastAsia="en-us" w:bidi="en-us"/>
    </w:rPr>
  </w:style>
  <w:style w:styleId="Heading2" w:type="paragraph">
    <w:name w:val="Heading 2"/>
    <w:basedOn w:val="Normal"/>
    <w:uiPriority w:val="1"/>
    <w:qFormat/>
    <w:pPr>
      <w:ind w:left="840" w:right="488"/>
      <w:outlineLvl w:val="2"/>
    </w:pPr>
    <w:rPr>
      <w:rFonts w:ascii="Verdana" w:hAnsi="Verdana" w:eastAsia="Verdana" w:cs="Verdana"/>
      <w:b/>
      <w:bCs/>
      <w:i/>
      <w:sz w:val="24"/>
      <w:szCs w:val="24"/>
      <w:lang w:val="en-us" w:eastAsia="en-us" w:bidi="en-us"/>
    </w:rPr>
  </w:style>
  <w:style w:styleId="Heading3" w:type="paragraph">
    <w:name w:val="Heading 3"/>
    <w:basedOn w:val="Normal"/>
    <w:uiPriority w:val="1"/>
    <w:qFormat/>
    <w:pPr>
      <w:spacing w:before="1"/>
      <w:ind w:left="20"/>
      <w:outlineLvl w:val="3"/>
    </w:pPr>
    <w:rPr>
      <w:rFonts w:ascii="Verdana" w:hAnsi="Verdana" w:eastAsia="Verdana" w:cs="Verdana"/>
      <w:sz w:val="24"/>
      <w:szCs w:val="24"/>
      <w:lang w:val="en-us" w:eastAsia="en-us" w:bidi="en-us"/>
    </w:rPr>
  </w:style>
  <w:style w:styleId="ListParagraph" w:type="paragraph">
    <w:name w:val="List Paragraph"/>
    <w:basedOn w:val="Normal"/>
    <w:uiPriority w:val="1"/>
    <w:qFormat/>
    <w:pPr>
      <w:ind w:left="840" w:hanging="720"/>
    </w:pPr>
    <w:rPr>
      <w:rFonts w:ascii="Verdana" w:hAnsi="Verdana" w:eastAsia="Verdana" w:cs="Verdana"/>
      <w:lang w:val="en-us" w:eastAsia="en-us" w:bidi="en-us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Verdana" w:hAnsi="Verdana" w:eastAsia="Verdana" w:cs="Verdana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Betsy Wagnon</dc:creator>
  <dc:title>I</dc:title>
  <dcterms:created xsi:type="dcterms:W3CDTF">2019-10-30T16:17:59Z</dcterms:created>
  <dcterms:modified xsi:type="dcterms:W3CDTF">2019-10-30T16:17:59Z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2018-03-06T00:00:00Z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2019-10-30T00:00:00Z</vt:filetime>
  </property>
</Properties>
</file>