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core.xml" ContentType="application/vnd.openxmlformats-package.core-properties+xml"/>
  <Override PartName="/word/footer1.xml" ContentType="application/vnd.openxmlformats-officedocument.wordprocessingml.footer+xml"/>
  <Default Extension="png" ContentType="image/png"/>
  <Override PartName="/docProps/custom.xml" ContentType="application/vnd.openxmlformats-officedocument.custom-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extended-properties" Target="docProps/app.xml"/><Relationship Id="rId2" Type="http://schemas.openxmlformats.org/package/2006/relationships/metadata/core-properties" Target="docProps/core.xml"/><Relationship Id="rId3"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space="preserve">
  <w:body>
    <w:p>
      <w:pPr>
        <w:spacing w:before="70"/>
        <w:ind w:left="1734" w:right="1741" w:firstLine="0"/>
        <w:jc w:val="center"/>
        <w:rPr>
          <w:rFonts w:ascii="Cambria"/>
          <w:sz w:val="44"/>
        </w:rPr>
      </w:pPr>
      <w:r>
        <w:rPr/>
        <w:pict>
          <v:shape style="position:absolute;margin-left:70.559998pt;margin-top:33.764294pt;width:470.9pt;height:.1pt;mso-position-horizontal-relative:page;mso-position-vertical-relative:paragraph;z-index:-251658240;mso-wrap-distance-left:0;mso-wrap-distance-right:0" coordorigin="1411,675" coordsize="9418,0" path="m1411,675l10829,675e" filled="false" stroked="true" strokeweight=".96pt" strokecolor="#4f81bd">
            <v:path arrowok="t"/>
            <v:stroke dashstyle="solid"/>
            <w10:wrap type="topAndBottom"/>
          </v:shape>
        </w:pict>
      </w:r>
      <w:r>
        <w:rPr>
          <w:rFonts w:ascii="Cambria"/>
          <w:color w:val="17365D"/>
          <w:sz w:val="44"/>
        </w:rPr>
        <w:t>MOLINA</w:t>
      </w:r>
    </w:p>
    <w:p>
      <w:pPr>
        <w:spacing w:before="238"/>
        <w:ind w:left="1743" w:right="1741" w:firstLine="0"/>
        <w:jc w:val="center"/>
        <w:rPr>
          <w:sz w:val="36"/>
        </w:rPr>
      </w:pPr>
      <w:r>
        <w:rPr>
          <w:sz w:val="36"/>
        </w:rPr>
        <w:t>CHIPs in the Jefferson Service Area (JSA) AS OF SEPTEMBER 1, 2011</w:t>
      </w:r>
    </w:p>
    <w:p>
      <w:pPr>
        <w:pStyle w:val="ListParagraph"/>
        <w:numPr>
          <w:ilvl w:val="0"/>
          <w:numId w:val="1"/>
        </w:numPr>
        <w:tabs>
          <w:tab w:pos="859" w:val="left" w:leader="none"/>
          <w:tab w:pos="860" w:val="left" w:leader="none"/>
        </w:tabs>
        <w:spacing w:line="240" w:lineRule="auto" w:before="237" w:after="0"/>
        <w:ind w:left="860" w:right="0" w:hanging="360"/>
        <w:jc w:val="left"/>
        <w:rPr>
          <w:sz w:val="24"/>
        </w:rPr>
      </w:pPr>
      <w:r>
        <w:rPr>
          <w:sz w:val="24"/>
        </w:rPr>
        <w:t>Description of Plan -</w:t>
      </w:r>
      <w:r>
        <w:rPr>
          <w:spacing w:val="-1"/>
          <w:sz w:val="24"/>
        </w:rPr>
        <w:t> </w:t>
      </w:r>
      <w:r>
        <w:rPr>
          <w:sz w:val="24"/>
        </w:rPr>
        <w:t>OVERVIEW</w:t>
      </w:r>
    </w:p>
    <w:p>
      <w:pPr>
        <w:pStyle w:val="ListParagraph"/>
        <w:numPr>
          <w:ilvl w:val="1"/>
          <w:numId w:val="1"/>
        </w:numPr>
        <w:tabs>
          <w:tab w:pos="1220" w:val="left" w:leader="none"/>
        </w:tabs>
        <w:spacing w:line="240" w:lineRule="auto" w:before="227" w:after="0"/>
        <w:ind w:left="1220" w:right="155" w:hanging="360"/>
        <w:jc w:val="left"/>
        <w:rPr>
          <w:sz w:val="24"/>
        </w:rPr>
      </w:pPr>
      <w:r>
        <w:rPr/>
        <w:drawing>
          <wp:anchor distT="0" distB="0" distL="0" distR="0" allowOverlap="1" layoutInCell="1" locked="0" behindDoc="1" simplePos="0" relativeHeight="251504640">
            <wp:simplePos x="0" y="0"/>
            <wp:positionH relativeFrom="page">
              <wp:posOffset>1085767</wp:posOffset>
            </wp:positionH>
            <wp:positionV relativeFrom="paragraph">
              <wp:posOffset>119635</wp:posOffset>
            </wp:positionV>
            <wp:extent cx="5457811" cy="5248700"/>
            <wp:effectExtent l="0" t="0" r="0" b="0"/>
            <wp:wrapNone/>
            <wp:docPr id="1" name="image1.png"/>
            <wp:cNvGraphicFramePr>
              <a:graphicFrameLocks noChangeAspect="1"/>
            </wp:cNvGraphicFramePr>
            <a:graphic>
              <a:graphicData uri="http://schemas.openxmlformats.org/drawingml/2006/picture">
                <pic:pic>
                  <pic:nvPicPr>
                    <pic:cNvPr id="2" name="image1.png"/>
                    <pic:cNvPicPr/>
                  </pic:nvPicPr>
                  <pic:blipFill>
                    <a:blip r:embed="rId6" cstate="print"/>
                    <a:stretch>
                      <a:fillRect/>
                    </a:stretch>
                  </pic:blipFill>
                  <pic:spPr>
                    <a:xfrm>
                      <a:off x="0" y="0"/>
                      <a:ext cx="5457811" cy="5248700"/>
                    </a:xfrm>
                    <a:prstGeom prst="rect">
                      <a:avLst/>
                    </a:prstGeom>
                  </pic:spPr>
                </pic:pic>
              </a:graphicData>
            </a:graphic>
          </wp:anchor>
        </w:drawing>
      </w:r>
      <w:r>
        <w:rPr>
          <w:sz w:val="24"/>
        </w:rPr>
        <w:t>The </w:t>
      </w:r>
      <w:r>
        <w:rPr>
          <w:sz w:val="24"/>
          <w:u w:val="single"/>
        </w:rPr>
        <w:t>Children’s Health Insurance Program (CHIP</w:t>
      </w:r>
      <w:r>
        <w:rPr>
          <w:sz w:val="24"/>
        </w:rPr>
        <w:t>) objective is to provide primary and preventative health care to low-income, uninsured children in Texas. The Health and Human Services Commission (HHSC) operates a managed health care delivery system for CHIP under two models. CHIP covers children ages 18 and younger in families with incomes at or below 200% of the Federal Poverty Level (FPL) who have completed an application process and have been approved by HHSC.</w:t>
      </w:r>
    </w:p>
    <w:p>
      <w:pPr>
        <w:pStyle w:val="ListParagraph"/>
        <w:numPr>
          <w:ilvl w:val="1"/>
          <w:numId w:val="1"/>
        </w:numPr>
        <w:tabs>
          <w:tab w:pos="1220" w:val="left" w:leader="none"/>
        </w:tabs>
        <w:spacing w:line="240" w:lineRule="auto" w:before="226" w:after="0"/>
        <w:ind w:left="1220" w:right="144" w:hanging="360"/>
        <w:jc w:val="left"/>
        <w:rPr>
          <w:sz w:val="24"/>
        </w:rPr>
      </w:pPr>
      <w:r>
        <w:rPr>
          <w:sz w:val="24"/>
        </w:rPr>
        <w:t>The </w:t>
      </w:r>
      <w:r>
        <w:rPr>
          <w:sz w:val="24"/>
          <w:u w:val="single"/>
        </w:rPr>
        <w:t>CHIP Perinatal</w:t>
      </w:r>
      <w:r>
        <w:rPr>
          <w:sz w:val="24"/>
        </w:rPr>
        <w:t> program is a sub-program of CHIP and provides care to unborn children of pregnant women with household incomes up to 200% of FPL and who are not eligible for Medicaid (may be due to legal residency status). The purpose of this program is to provide health care services to the pregnant mothers and the unborn babies in order to have better outcomes upon delivery (healthier</w:t>
      </w:r>
      <w:r>
        <w:rPr>
          <w:spacing w:val="-21"/>
          <w:sz w:val="24"/>
        </w:rPr>
        <w:t> </w:t>
      </w:r>
      <w:r>
        <w:rPr>
          <w:sz w:val="24"/>
        </w:rPr>
        <w:t>babies).</w:t>
      </w:r>
    </w:p>
    <w:p>
      <w:pPr>
        <w:pStyle w:val="BodyText"/>
        <w:spacing w:before="10"/>
        <w:ind w:left="0" w:firstLine="0"/>
        <w:rPr>
          <w:sz w:val="22"/>
        </w:rPr>
      </w:pPr>
    </w:p>
    <w:p>
      <w:pPr>
        <w:pStyle w:val="ListParagraph"/>
        <w:numPr>
          <w:ilvl w:val="1"/>
          <w:numId w:val="1"/>
        </w:numPr>
        <w:tabs>
          <w:tab w:pos="1220" w:val="left" w:leader="none"/>
        </w:tabs>
        <w:spacing w:line="240" w:lineRule="auto" w:before="0" w:after="0"/>
        <w:ind w:left="1219" w:right="171" w:hanging="360"/>
        <w:jc w:val="left"/>
        <w:rPr>
          <w:sz w:val="24"/>
        </w:rPr>
      </w:pPr>
      <w:r>
        <w:rPr/>
        <w:pict>
          <v:rect style="position:absolute;margin-left:250.679993pt;margin-top:11.958051pt;width:3.12pt;height:.6pt;mso-position-horizontal-relative:page;mso-position-vertical-relative:paragraph;z-index:-251810816" filled="true" fillcolor="#000000" stroked="false">
            <v:fill type="solid"/>
            <w10:wrap type="none"/>
          </v:rect>
        </w:pict>
      </w:r>
      <w:r>
        <w:rPr>
          <w:sz w:val="24"/>
        </w:rPr>
        <w:t>The</w:t>
      </w:r>
      <w:r>
        <w:rPr>
          <w:sz w:val="24"/>
          <w:u w:val="single"/>
        </w:rPr>
        <w:t> STAR Program</w:t>
      </w:r>
      <w:r>
        <w:rPr>
          <w:sz w:val="24"/>
        </w:rPr>
        <w:t> is the State of Texas Access Reform program and is administered through HMOs. HHSC contracts with HMOs to provide, arrange, and coordinate preventive, primary, and acute care covered services to non-disabled, low-income children and families, and pregnant women, SSI and SSI-related adults and children who do not receive Medicare, pursuant to Title XIX of the Social Security Act and Texas Administrative Code, Title 1, Part 15, Chapter</w:t>
      </w:r>
      <w:r>
        <w:rPr>
          <w:spacing w:val="-24"/>
          <w:sz w:val="24"/>
        </w:rPr>
        <w:t> </w:t>
      </w:r>
      <w:r>
        <w:rPr>
          <w:sz w:val="24"/>
        </w:rPr>
        <w:t>353.</w:t>
      </w:r>
    </w:p>
    <w:p>
      <w:pPr>
        <w:pStyle w:val="ListParagraph"/>
        <w:numPr>
          <w:ilvl w:val="1"/>
          <w:numId w:val="1"/>
        </w:numPr>
        <w:tabs>
          <w:tab w:pos="1220" w:val="left" w:leader="none"/>
        </w:tabs>
        <w:spacing w:line="240" w:lineRule="auto" w:before="228" w:after="0"/>
        <w:ind w:left="1220" w:right="289" w:hanging="360"/>
        <w:jc w:val="left"/>
        <w:rPr>
          <w:sz w:val="24"/>
        </w:rPr>
      </w:pPr>
      <w:r>
        <w:rPr>
          <w:sz w:val="24"/>
        </w:rPr>
        <w:t>The </w:t>
      </w:r>
      <w:r>
        <w:rPr>
          <w:sz w:val="24"/>
          <w:u w:val="single"/>
        </w:rPr>
        <w:t>STAR+PLUS Program</w:t>
      </w:r>
      <w:r>
        <w:rPr>
          <w:sz w:val="24"/>
        </w:rPr>
        <w:t> is the State of Texas program in which HHSC contracts with HMOs to provide, arrange, and coordinate preventive, primary, acute and long term care Covered Services to adult persons with disabilities and elderly persons age 65 and over who qualify for Medicaid through the SSI program and/or the MAO program. Children under age 21, who qualify for Medicaid through the SSI program, may voluntarily participate in the STAR+PLUS</w:t>
      </w:r>
      <w:r>
        <w:rPr>
          <w:spacing w:val="-22"/>
          <w:sz w:val="24"/>
        </w:rPr>
        <w:t> </w:t>
      </w:r>
      <w:r>
        <w:rPr>
          <w:sz w:val="24"/>
        </w:rPr>
        <w:t>program.</w:t>
      </w:r>
    </w:p>
    <w:p>
      <w:pPr>
        <w:pStyle w:val="ListParagraph"/>
        <w:numPr>
          <w:ilvl w:val="0"/>
          <w:numId w:val="1"/>
        </w:numPr>
        <w:tabs>
          <w:tab w:pos="860" w:val="left" w:leader="none"/>
        </w:tabs>
        <w:spacing w:line="240" w:lineRule="auto" w:before="227" w:after="0"/>
        <w:ind w:left="860" w:right="0" w:hanging="360"/>
        <w:jc w:val="left"/>
        <w:rPr>
          <w:sz w:val="24"/>
        </w:rPr>
      </w:pPr>
      <w:r>
        <w:rPr>
          <w:sz w:val="24"/>
        </w:rPr>
        <w:t>Payor - Molina Healthcare of Texas,</w:t>
      </w:r>
      <w:r>
        <w:rPr>
          <w:spacing w:val="-2"/>
          <w:sz w:val="24"/>
        </w:rPr>
        <w:t> </w:t>
      </w:r>
      <w:r>
        <w:rPr>
          <w:sz w:val="24"/>
        </w:rPr>
        <w:t>Inc.</w:t>
      </w:r>
    </w:p>
    <w:p>
      <w:pPr>
        <w:pStyle w:val="ListParagraph"/>
        <w:numPr>
          <w:ilvl w:val="1"/>
          <w:numId w:val="1"/>
        </w:numPr>
        <w:tabs>
          <w:tab w:pos="1220" w:val="left" w:leader="none"/>
        </w:tabs>
        <w:spacing w:line="272" w:lineRule="exact" w:before="227" w:after="0"/>
        <w:ind w:left="1220" w:right="0" w:hanging="360"/>
        <w:jc w:val="left"/>
        <w:rPr>
          <w:sz w:val="24"/>
        </w:rPr>
      </w:pPr>
      <w:r>
        <w:rPr>
          <w:sz w:val="24"/>
        </w:rPr>
        <w:t>Billing</w:t>
      </w:r>
      <w:r>
        <w:rPr>
          <w:spacing w:val="-2"/>
          <w:sz w:val="24"/>
        </w:rPr>
        <w:t> </w:t>
      </w:r>
      <w:r>
        <w:rPr>
          <w:sz w:val="24"/>
        </w:rPr>
        <w:t>Address</w:t>
      </w:r>
    </w:p>
    <w:p>
      <w:pPr>
        <w:pStyle w:val="BodyText"/>
        <w:ind w:right="5166" w:firstLine="0"/>
      </w:pPr>
      <w:r>
        <w:rPr/>
        <w:t>Molina Healthcare of Texas, Inc. PO Box 22719</w:t>
      </w:r>
    </w:p>
    <w:p>
      <w:pPr>
        <w:pStyle w:val="BodyText"/>
        <w:ind w:firstLine="0"/>
      </w:pPr>
      <w:r>
        <w:rPr/>
        <w:t>Long Beach, CA 90801</w:t>
      </w:r>
    </w:p>
    <w:p>
      <w:pPr>
        <w:pStyle w:val="ListParagraph"/>
        <w:numPr>
          <w:ilvl w:val="1"/>
          <w:numId w:val="1"/>
        </w:numPr>
        <w:tabs>
          <w:tab w:pos="1220" w:val="left" w:leader="none"/>
        </w:tabs>
        <w:spacing w:line="240" w:lineRule="auto" w:before="227" w:after="0"/>
        <w:ind w:left="1220" w:right="874" w:hanging="360"/>
        <w:jc w:val="left"/>
        <w:rPr>
          <w:sz w:val="24"/>
        </w:rPr>
      </w:pPr>
      <w:r>
        <w:rPr>
          <w:sz w:val="24"/>
        </w:rPr>
        <w:t>Electronic Billing Info: Electronic claims can be sent to the Health Plan via:</w:t>
      </w:r>
      <w:hyperlink r:id="rId7">
        <w:r>
          <w:rPr>
            <w:color w:val="0000FF"/>
            <w:sz w:val="24"/>
            <w:u w:val="single" w:color="0000FF"/>
          </w:rPr>
          <w:t> www.Molinahealthcare.com</w:t>
        </w:r>
      </w:hyperlink>
    </w:p>
    <w:p>
      <w:pPr>
        <w:pStyle w:val="ListParagraph"/>
        <w:numPr>
          <w:ilvl w:val="1"/>
          <w:numId w:val="1"/>
        </w:numPr>
        <w:tabs>
          <w:tab w:pos="1220" w:val="left" w:leader="none"/>
        </w:tabs>
        <w:spacing w:line="240" w:lineRule="auto" w:before="227" w:after="0"/>
        <w:ind w:left="1220" w:right="0" w:hanging="360"/>
        <w:jc w:val="left"/>
        <w:rPr>
          <w:sz w:val="24"/>
        </w:rPr>
      </w:pPr>
      <w:r>
        <w:rPr>
          <w:sz w:val="24"/>
        </w:rPr>
        <w:t>Provider Representative: CHECK POET</w:t>
      </w:r>
      <w:r>
        <w:rPr>
          <w:spacing w:val="-1"/>
          <w:sz w:val="24"/>
        </w:rPr>
        <w:t> </w:t>
      </w:r>
      <w:r>
        <w:rPr>
          <w:sz w:val="24"/>
        </w:rPr>
        <w:t>COMMUNITY</w:t>
      </w:r>
    </w:p>
    <w:p>
      <w:pPr>
        <w:spacing w:after="0" w:line="240" w:lineRule="auto"/>
        <w:jc w:val="left"/>
        <w:rPr>
          <w:sz w:val="24"/>
        </w:rPr>
        <w:sectPr>
          <w:footerReference w:type="default" r:id="rId5"/>
          <w:type w:val="continuous"/>
          <w:pgSz w:w="12240" w:h="15840"/>
          <w:pgMar w:footer="1017" w:top="1280" w:bottom="1200" w:left="1300" w:right="1300"/>
          <w:pgNumType w:start="1"/>
        </w:sectPr>
      </w:pPr>
    </w:p>
    <w:p>
      <w:pPr>
        <w:pStyle w:val="BodyText"/>
        <w:spacing w:before="5"/>
        <w:ind w:left="0" w:firstLine="0"/>
        <w:rPr>
          <w:sz w:val="27"/>
        </w:rPr>
      </w:pPr>
    </w:p>
    <w:p>
      <w:pPr>
        <w:pStyle w:val="ListParagraph"/>
        <w:numPr>
          <w:ilvl w:val="0"/>
          <w:numId w:val="1"/>
        </w:numPr>
        <w:tabs>
          <w:tab w:pos="859" w:val="left" w:leader="none"/>
          <w:tab w:pos="860" w:val="left" w:leader="none"/>
        </w:tabs>
        <w:spacing w:line="240" w:lineRule="auto" w:before="100" w:after="0"/>
        <w:ind w:left="860" w:right="6774" w:hanging="720"/>
        <w:jc w:val="left"/>
        <w:rPr>
          <w:sz w:val="24"/>
        </w:rPr>
      </w:pPr>
      <w:r>
        <w:rPr>
          <w:sz w:val="24"/>
        </w:rPr>
        <w:t>Effective Date September 1,</w:t>
      </w:r>
      <w:r>
        <w:rPr>
          <w:spacing w:val="-5"/>
          <w:sz w:val="24"/>
        </w:rPr>
        <w:t> </w:t>
      </w:r>
      <w:r>
        <w:rPr>
          <w:sz w:val="24"/>
        </w:rPr>
        <w:t>2011</w:t>
      </w:r>
    </w:p>
    <w:p>
      <w:pPr>
        <w:pStyle w:val="ListParagraph"/>
        <w:numPr>
          <w:ilvl w:val="0"/>
          <w:numId w:val="1"/>
        </w:numPr>
        <w:tabs>
          <w:tab w:pos="859" w:val="left" w:leader="none"/>
          <w:tab w:pos="860" w:val="left" w:leader="none"/>
        </w:tabs>
        <w:spacing w:line="272" w:lineRule="exact" w:before="228" w:after="0"/>
        <w:ind w:left="860" w:right="0" w:hanging="720"/>
        <w:jc w:val="left"/>
        <w:rPr>
          <w:sz w:val="24"/>
        </w:rPr>
      </w:pPr>
      <w:r>
        <w:rPr>
          <w:sz w:val="24"/>
        </w:rPr>
        <w:t>In Network Hospitals in the Jefferson Service Area: - DATED</w:t>
      </w:r>
      <w:r>
        <w:rPr>
          <w:spacing w:val="-9"/>
          <w:sz w:val="24"/>
        </w:rPr>
        <w:t> </w:t>
      </w:r>
      <w:r>
        <w:rPr>
          <w:sz w:val="24"/>
        </w:rPr>
        <w:t>INFORMATION</w:t>
      </w:r>
    </w:p>
    <w:p>
      <w:pPr>
        <w:pStyle w:val="ListParagraph"/>
        <w:numPr>
          <w:ilvl w:val="1"/>
          <w:numId w:val="1"/>
        </w:numPr>
        <w:tabs>
          <w:tab w:pos="1220" w:val="left" w:leader="none"/>
        </w:tabs>
        <w:spacing w:line="271" w:lineRule="exact" w:before="0" w:after="0"/>
        <w:ind w:left="1220" w:right="0" w:hanging="360"/>
        <w:jc w:val="left"/>
        <w:rPr>
          <w:sz w:val="24"/>
        </w:rPr>
      </w:pPr>
      <w:r>
        <w:rPr>
          <w:sz w:val="24"/>
        </w:rPr>
        <w:t>Memorial Health System of East</w:t>
      </w:r>
      <w:r>
        <w:rPr>
          <w:spacing w:val="-3"/>
          <w:sz w:val="24"/>
        </w:rPr>
        <w:t> </w:t>
      </w:r>
      <w:r>
        <w:rPr>
          <w:sz w:val="24"/>
        </w:rPr>
        <w:t>Texas</w:t>
      </w:r>
    </w:p>
    <w:p>
      <w:pPr>
        <w:pStyle w:val="ListParagraph"/>
        <w:numPr>
          <w:ilvl w:val="1"/>
          <w:numId w:val="1"/>
        </w:numPr>
        <w:tabs>
          <w:tab w:pos="1220" w:val="left" w:leader="none"/>
        </w:tabs>
        <w:spacing w:line="272" w:lineRule="exact" w:before="0" w:after="0"/>
        <w:ind w:left="1220" w:right="0" w:hanging="361"/>
        <w:jc w:val="left"/>
        <w:rPr>
          <w:sz w:val="24"/>
        </w:rPr>
      </w:pPr>
      <w:r>
        <w:rPr>
          <w:sz w:val="24"/>
        </w:rPr>
        <w:t>Medical Center of Southeast</w:t>
      </w:r>
      <w:r>
        <w:rPr>
          <w:spacing w:val="-1"/>
          <w:sz w:val="24"/>
        </w:rPr>
        <w:t> </w:t>
      </w:r>
      <w:r>
        <w:rPr>
          <w:sz w:val="24"/>
        </w:rPr>
        <w:t>Texas</w:t>
      </w:r>
    </w:p>
    <w:p>
      <w:pPr>
        <w:pStyle w:val="ListParagraph"/>
        <w:numPr>
          <w:ilvl w:val="1"/>
          <w:numId w:val="1"/>
        </w:numPr>
        <w:tabs>
          <w:tab w:pos="1220" w:val="left" w:leader="none"/>
        </w:tabs>
        <w:spacing w:line="272" w:lineRule="exact" w:before="2" w:after="0"/>
        <w:ind w:left="1220" w:right="0" w:hanging="361"/>
        <w:jc w:val="left"/>
        <w:rPr>
          <w:sz w:val="24"/>
        </w:rPr>
      </w:pPr>
      <w:r>
        <w:rPr/>
        <w:drawing>
          <wp:anchor distT="0" distB="0" distL="0" distR="0" allowOverlap="1" layoutInCell="1" locked="0" behindDoc="1" simplePos="0" relativeHeight="251506688">
            <wp:simplePos x="0" y="0"/>
            <wp:positionH relativeFrom="page">
              <wp:posOffset>1085767</wp:posOffset>
            </wp:positionH>
            <wp:positionV relativeFrom="paragraph">
              <wp:posOffset>158116</wp:posOffset>
            </wp:positionV>
            <wp:extent cx="5457811" cy="5248700"/>
            <wp:effectExtent l="0" t="0" r="0" b="0"/>
            <wp:wrapNone/>
            <wp:docPr id="3" name="image1.png"/>
            <wp:cNvGraphicFramePr>
              <a:graphicFrameLocks noChangeAspect="1"/>
            </wp:cNvGraphicFramePr>
            <a:graphic>
              <a:graphicData uri="http://schemas.openxmlformats.org/drawingml/2006/picture">
                <pic:pic>
                  <pic:nvPicPr>
                    <pic:cNvPr id="4" name="image1.png"/>
                    <pic:cNvPicPr/>
                  </pic:nvPicPr>
                  <pic:blipFill>
                    <a:blip r:embed="rId6" cstate="print"/>
                    <a:stretch>
                      <a:fillRect/>
                    </a:stretch>
                  </pic:blipFill>
                  <pic:spPr>
                    <a:xfrm>
                      <a:off x="0" y="0"/>
                      <a:ext cx="5457811" cy="5248700"/>
                    </a:xfrm>
                    <a:prstGeom prst="rect">
                      <a:avLst/>
                    </a:prstGeom>
                  </pic:spPr>
                </pic:pic>
              </a:graphicData>
            </a:graphic>
          </wp:anchor>
        </w:drawing>
      </w:r>
      <w:r>
        <w:rPr>
          <w:sz w:val="24"/>
        </w:rPr>
        <w:t>Renaissance Hospital Groves,</w:t>
      </w:r>
      <w:r>
        <w:rPr>
          <w:spacing w:val="-2"/>
          <w:sz w:val="24"/>
        </w:rPr>
        <w:t> </w:t>
      </w:r>
      <w:r>
        <w:rPr>
          <w:sz w:val="24"/>
        </w:rPr>
        <w:t>Inc.</w:t>
      </w:r>
    </w:p>
    <w:p>
      <w:pPr>
        <w:pStyle w:val="ListParagraph"/>
        <w:numPr>
          <w:ilvl w:val="1"/>
          <w:numId w:val="1"/>
        </w:numPr>
        <w:tabs>
          <w:tab w:pos="1220" w:val="left" w:leader="none"/>
        </w:tabs>
        <w:spacing w:line="271" w:lineRule="exact" w:before="0" w:after="0"/>
        <w:ind w:left="1220" w:right="0" w:hanging="361"/>
        <w:jc w:val="left"/>
        <w:rPr>
          <w:sz w:val="24"/>
        </w:rPr>
      </w:pPr>
      <w:r>
        <w:rPr>
          <w:sz w:val="24"/>
        </w:rPr>
        <w:t>Cleveland Regional Medical Center,</w:t>
      </w:r>
      <w:r>
        <w:rPr>
          <w:spacing w:val="-1"/>
          <w:sz w:val="24"/>
        </w:rPr>
        <w:t> </w:t>
      </w:r>
      <w:r>
        <w:rPr>
          <w:sz w:val="24"/>
        </w:rPr>
        <w:t>LP</w:t>
      </w:r>
    </w:p>
    <w:p>
      <w:pPr>
        <w:pStyle w:val="ListParagraph"/>
        <w:numPr>
          <w:ilvl w:val="1"/>
          <w:numId w:val="1"/>
        </w:numPr>
        <w:tabs>
          <w:tab w:pos="1220" w:val="left" w:leader="none"/>
        </w:tabs>
        <w:spacing w:line="272" w:lineRule="exact" w:before="0" w:after="0"/>
        <w:ind w:left="1220" w:right="0" w:hanging="361"/>
        <w:jc w:val="left"/>
        <w:rPr>
          <w:sz w:val="24"/>
        </w:rPr>
      </w:pPr>
      <w:r>
        <w:rPr>
          <w:sz w:val="24"/>
        </w:rPr>
        <w:t>Winnie Community Hospital,</w:t>
      </w:r>
      <w:r>
        <w:rPr>
          <w:spacing w:val="-1"/>
          <w:sz w:val="24"/>
        </w:rPr>
        <w:t> </w:t>
      </w:r>
      <w:r>
        <w:rPr>
          <w:sz w:val="24"/>
        </w:rPr>
        <w:t>LLC</w:t>
      </w:r>
    </w:p>
    <w:p>
      <w:pPr>
        <w:pStyle w:val="ListParagraph"/>
        <w:numPr>
          <w:ilvl w:val="0"/>
          <w:numId w:val="1"/>
        </w:numPr>
        <w:tabs>
          <w:tab w:pos="859" w:val="left" w:leader="none"/>
          <w:tab w:pos="860" w:val="left" w:leader="none"/>
        </w:tabs>
        <w:spacing w:line="240" w:lineRule="auto" w:before="227" w:after="0"/>
        <w:ind w:left="860" w:right="0" w:hanging="720"/>
        <w:jc w:val="left"/>
        <w:rPr>
          <w:sz w:val="24"/>
        </w:rPr>
      </w:pPr>
      <w:r>
        <w:rPr>
          <w:sz w:val="24"/>
        </w:rPr>
        <w:t>Reimbursement and</w:t>
      </w:r>
      <w:r>
        <w:rPr>
          <w:spacing w:val="-1"/>
          <w:sz w:val="24"/>
        </w:rPr>
        <w:t> </w:t>
      </w:r>
      <w:r>
        <w:rPr>
          <w:sz w:val="24"/>
        </w:rPr>
        <w:t>Claims</w:t>
      </w:r>
    </w:p>
    <w:p>
      <w:pPr>
        <w:pStyle w:val="ListParagraph"/>
        <w:numPr>
          <w:ilvl w:val="1"/>
          <w:numId w:val="1"/>
        </w:numPr>
        <w:tabs>
          <w:tab w:pos="1220" w:val="left" w:leader="none"/>
        </w:tabs>
        <w:spacing w:line="240" w:lineRule="auto" w:before="227" w:after="0"/>
        <w:ind w:left="1220" w:right="0" w:hanging="360"/>
        <w:jc w:val="left"/>
        <w:rPr>
          <w:sz w:val="24"/>
        </w:rPr>
      </w:pPr>
      <w:r>
        <w:rPr>
          <w:sz w:val="24"/>
        </w:rPr>
        <w:t>Fee Schedule - 107% current Medicaid</w:t>
      </w:r>
      <w:r>
        <w:rPr>
          <w:spacing w:val="-6"/>
          <w:sz w:val="24"/>
        </w:rPr>
        <w:t> </w:t>
      </w:r>
      <w:r>
        <w:rPr>
          <w:sz w:val="24"/>
        </w:rPr>
        <w:t>allowable</w:t>
      </w:r>
    </w:p>
    <w:p>
      <w:pPr>
        <w:pStyle w:val="ListParagraph"/>
        <w:numPr>
          <w:ilvl w:val="1"/>
          <w:numId w:val="1"/>
        </w:numPr>
        <w:tabs>
          <w:tab w:pos="1220" w:val="left" w:leader="none"/>
        </w:tabs>
        <w:spacing w:line="240" w:lineRule="auto" w:before="227" w:after="0"/>
        <w:ind w:left="1220" w:right="0" w:hanging="360"/>
        <w:jc w:val="left"/>
        <w:rPr>
          <w:sz w:val="24"/>
        </w:rPr>
      </w:pPr>
      <w:r>
        <w:rPr>
          <w:sz w:val="24"/>
        </w:rPr>
        <w:t>Prompt Pay Provisions</w:t>
      </w:r>
    </w:p>
    <w:p>
      <w:pPr>
        <w:pStyle w:val="BodyText"/>
        <w:spacing w:before="227"/>
        <w:ind w:right="500" w:firstLine="0"/>
      </w:pPr>
      <w:r>
        <w:rPr/>
        <w:t>Clean claims adjudicated within 30 days from the date the claim is received. If not, payer shall pay provider interest at the rate of 1.5% per month (18% per annum) calculated daily, for the full period in which the Clean Claim remains unadjudicated beyond the 30-day claims processing deadline.</w:t>
      </w:r>
    </w:p>
    <w:p>
      <w:pPr>
        <w:pStyle w:val="ListParagraph"/>
        <w:numPr>
          <w:ilvl w:val="1"/>
          <w:numId w:val="1"/>
        </w:numPr>
        <w:tabs>
          <w:tab w:pos="1220" w:val="left" w:leader="none"/>
        </w:tabs>
        <w:spacing w:line="240" w:lineRule="auto" w:before="227" w:after="0"/>
        <w:ind w:left="1220" w:right="0" w:hanging="360"/>
        <w:jc w:val="left"/>
        <w:rPr>
          <w:sz w:val="24"/>
        </w:rPr>
      </w:pPr>
      <w:r>
        <w:rPr>
          <w:sz w:val="24"/>
        </w:rPr>
        <w:t>Claims Filing</w:t>
      </w:r>
      <w:r>
        <w:rPr>
          <w:spacing w:val="-3"/>
          <w:sz w:val="24"/>
        </w:rPr>
        <w:t> </w:t>
      </w:r>
      <w:r>
        <w:rPr>
          <w:sz w:val="24"/>
        </w:rPr>
        <w:t>Deadline</w:t>
      </w:r>
    </w:p>
    <w:p>
      <w:pPr>
        <w:pStyle w:val="BodyText"/>
        <w:spacing w:before="227"/>
        <w:ind w:firstLine="0"/>
      </w:pPr>
      <w:r>
        <w:rPr/>
        <w:t>95 days from date of service. Payer must give 60-day notice of changes in claims processing or adjudication entity.</w:t>
      </w:r>
    </w:p>
    <w:p>
      <w:pPr>
        <w:pStyle w:val="ListParagraph"/>
        <w:numPr>
          <w:ilvl w:val="1"/>
          <w:numId w:val="1"/>
        </w:numPr>
        <w:tabs>
          <w:tab w:pos="1220" w:val="left" w:leader="none"/>
        </w:tabs>
        <w:spacing w:line="240" w:lineRule="auto" w:before="226" w:after="0"/>
        <w:ind w:left="1220" w:right="0" w:hanging="360"/>
        <w:jc w:val="left"/>
        <w:rPr>
          <w:sz w:val="24"/>
        </w:rPr>
      </w:pPr>
      <w:r>
        <w:rPr>
          <w:sz w:val="24"/>
        </w:rPr>
        <w:t>Claims</w:t>
      </w:r>
      <w:r>
        <w:rPr>
          <w:spacing w:val="-2"/>
          <w:sz w:val="24"/>
        </w:rPr>
        <w:t> </w:t>
      </w:r>
      <w:r>
        <w:rPr>
          <w:sz w:val="24"/>
        </w:rPr>
        <w:t>Guidelines</w:t>
      </w:r>
    </w:p>
    <w:p>
      <w:pPr>
        <w:pStyle w:val="BodyText"/>
        <w:spacing w:before="227"/>
        <w:ind w:right="769" w:firstLine="0"/>
      </w:pPr>
      <w:r>
        <w:rPr/>
        <w:t>90-day notice for changes in claims guidelines unless change is required by statute or regulation in a shorter timeframe.</w:t>
      </w:r>
    </w:p>
    <w:p>
      <w:pPr>
        <w:pStyle w:val="ListParagraph"/>
        <w:numPr>
          <w:ilvl w:val="1"/>
          <w:numId w:val="1"/>
        </w:numPr>
        <w:tabs>
          <w:tab w:pos="1220" w:val="left" w:leader="none"/>
        </w:tabs>
        <w:spacing w:line="240" w:lineRule="auto" w:before="227" w:after="0"/>
        <w:ind w:left="1220" w:right="0" w:hanging="360"/>
        <w:jc w:val="left"/>
        <w:rPr>
          <w:sz w:val="24"/>
        </w:rPr>
      </w:pPr>
      <w:r>
        <w:rPr>
          <w:sz w:val="24"/>
        </w:rPr>
        <w:t>Encounter</w:t>
      </w:r>
      <w:r>
        <w:rPr>
          <w:spacing w:val="-1"/>
          <w:sz w:val="24"/>
        </w:rPr>
        <w:t> </w:t>
      </w:r>
      <w:r>
        <w:rPr>
          <w:sz w:val="24"/>
        </w:rPr>
        <w:t>Submission</w:t>
      </w:r>
    </w:p>
    <w:p>
      <w:pPr>
        <w:pStyle w:val="BodyText"/>
        <w:spacing w:before="227"/>
        <w:ind w:right="444" w:firstLine="0"/>
      </w:pPr>
      <w:r>
        <w:rPr/>
        <w:t>IPA Provider shall submit to Payor claims or encounters for Covered Services in accordance with the Provider Manual, except as otherwise set forth in this Agreement.</w:t>
      </w:r>
    </w:p>
    <w:p>
      <w:pPr>
        <w:pStyle w:val="ListParagraph"/>
        <w:numPr>
          <w:ilvl w:val="1"/>
          <w:numId w:val="1"/>
        </w:numPr>
        <w:tabs>
          <w:tab w:pos="1220" w:val="left" w:leader="none"/>
        </w:tabs>
        <w:spacing w:line="240" w:lineRule="auto" w:before="227" w:after="0"/>
        <w:ind w:left="1220" w:right="0" w:hanging="360"/>
        <w:jc w:val="left"/>
        <w:rPr>
          <w:sz w:val="24"/>
        </w:rPr>
      </w:pPr>
      <w:r>
        <w:rPr>
          <w:sz w:val="24"/>
        </w:rPr>
        <w:t>Appeals</w:t>
      </w:r>
    </w:p>
    <w:p>
      <w:pPr>
        <w:pStyle w:val="ListParagraph"/>
        <w:numPr>
          <w:ilvl w:val="2"/>
          <w:numId w:val="1"/>
        </w:numPr>
        <w:tabs>
          <w:tab w:pos="1580" w:val="left" w:leader="none"/>
        </w:tabs>
        <w:spacing w:line="240" w:lineRule="auto" w:before="225" w:after="0"/>
        <w:ind w:left="1580" w:right="218" w:hanging="360"/>
        <w:jc w:val="left"/>
        <w:rPr>
          <w:sz w:val="24"/>
        </w:rPr>
      </w:pPr>
      <w:r>
        <w:rPr>
          <w:sz w:val="24"/>
        </w:rPr>
        <w:t>Appeal Process – See health care provider manual and will be consistent</w:t>
      </w:r>
      <w:r>
        <w:rPr>
          <w:spacing w:val="-25"/>
          <w:sz w:val="24"/>
        </w:rPr>
        <w:t> </w:t>
      </w:r>
      <w:r>
        <w:rPr>
          <w:sz w:val="24"/>
        </w:rPr>
        <w:t>with applicable law. Also see below from POET Agreement. If there is any conflict between Provider Manual and POET Agreement, the Agreement shall</w:t>
      </w:r>
      <w:r>
        <w:rPr>
          <w:spacing w:val="-22"/>
          <w:sz w:val="24"/>
        </w:rPr>
        <w:t> </w:t>
      </w:r>
      <w:r>
        <w:rPr>
          <w:sz w:val="24"/>
        </w:rPr>
        <w:t>control.</w:t>
      </w:r>
    </w:p>
    <w:p>
      <w:pPr>
        <w:pStyle w:val="ListParagraph"/>
        <w:numPr>
          <w:ilvl w:val="2"/>
          <w:numId w:val="1"/>
        </w:numPr>
        <w:tabs>
          <w:tab w:pos="1580" w:val="left" w:leader="none"/>
        </w:tabs>
        <w:spacing w:line="272" w:lineRule="exact" w:before="2" w:after="0"/>
        <w:ind w:left="1580" w:right="0" w:hanging="360"/>
        <w:jc w:val="left"/>
        <w:rPr>
          <w:sz w:val="24"/>
        </w:rPr>
      </w:pPr>
      <w:r>
        <w:rPr>
          <w:sz w:val="24"/>
        </w:rPr>
        <w:t>Appeal of claims payment decisions shall be as</w:t>
      </w:r>
      <w:r>
        <w:rPr>
          <w:spacing w:val="-5"/>
          <w:sz w:val="24"/>
        </w:rPr>
        <w:t> </w:t>
      </w:r>
      <w:r>
        <w:rPr>
          <w:sz w:val="24"/>
        </w:rPr>
        <w:t>follows:</w:t>
      </w:r>
    </w:p>
    <w:p>
      <w:pPr>
        <w:pStyle w:val="ListParagraph"/>
        <w:numPr>
          <w:ilvl w:val="3"/>
          <w:numId w:val="1"/>
        </w:numPr>
        <w:tabs>
          <w:tab w:pos="1936" w:val="left" w:leader="none"/>
        </w:tabs>
        <w:spacing w:line="240" w:lineRule="auto" w:before="0" w:after="0"/>
        <w:ind w:left="1940" w:right="341" w:hanging="240"/>
        <w:jc w:val="left"/>
        <w:rPr>
          <w:sz w:val="24"/>
        </w:rPr>
      </w:pPr>
      <w:r>
        <w:rPr>
          <w:sz w:val="24"/>
        </w:rPr>
        <w:t>The request must specify why the Provider believes Health Plan owes the payment;</w:t>
      </w:r>
    </w:p>
    <w:p>
      <w:pPr>
        <w:pStyle w:val="ListParagraph"/>
        <w:numPr>
          <w:ilvl w:val="3"/>
          <w:numId w:val="1"/>
        </w:numPr>
        <w:tabs>
          <w:tab w:pos="1931" w:val="left" w:leader="none"/>
        </w:tabs>
        <w:spacing w:line="240" w:lineRule="auto" w:before="0" w:after="0"/>
        <w:ind w:left="1940" w:right="202" w:hanging="300"/>
        <w:jc w:val="left"/>
        <w:rPr>
          <w:sz w:val="24"/>
        </w:rPr>
      </w:pPr>
      <w:r>
        <w:rPr>
          <w:sz w:val="24"/>
        </w:rPr>
        <w:t>In the case of coordination of benefits, the request must include the</w:t>
      </w:r>
      <w:r>
        <w:rPr>
          <w:spacing w:val="-23"/>
          <w:sz w:val="24"/>
        </w:rPr>
        <w:t> </w:t>
      </w:r>
      <w:r>
        <w:rPr>
          <w:sz w:val="24"/>
        </w:rPr>
        <w:t>name and mailing address of any entity that has disclaimed responsibility</w:t>
      </w:r>
      <w:r>
        <w:rPr>
          <w:spacing w:val="-13"/>
          <w:sz w:val="24"/>
        </w:rPr>
        <w:t> </w:t>
      </w:r>
      <w:r>
        <w:rPr>
          <w:sz w:val="24"/>
        </w:rPr>
        <w:t>for</w:t>
      </w:r>
    </w:p>
    <w:p>
      <w:pPr>
        <w:spacing w:after="0" w:line="240" w:lineRule="auto"/>
        <w:jc w:val="left"/>
        <w:rPr>
          <w:sz w:val="24"/>
        </w:rPr>
        <w:sectPr>
          <w:pgSz w:w="12240" w:h="15840"/>
          <w:pgMar w:header="0" w:footer="1017" w:top="1500" w:bottom="1200" w:left="1300" w:right="1300"/>
        </w:sectPr>
      </w:pPr>
    </w:p>
    <w:p>
      <w:pPr>
        <w:pStyle w:val="BodyText"/>
        <w:spacing w:line="272" w:lineRule="exact" w:before="88"/>
        <w:ind w:left="1940" w:firstLine="0"/>
      </w:pPr>
      <w:r>
        <w:rPr/>
        <w:t>payment;</w:t>
      </w:r>
    </w:p>
    <w:p>
      <w:pPr>
        <w:pStyle w:val="ListParagraph"/>
        <w:numPr>
          <w:ilvl w:val="3"/>
          <w:numId w:val="1"/>
        </w:numPr>
        <w:tabs>
          <w:tab w:pos="1926" w:val="left" w:leader="none"/>
        </w:tabs>
        <w:spacing w:line="240" w:lineRule="auto" w:before="0" w:after="0"/>
        <w:ind w:left="1940" w:right="324" w:hanging="360"/>
        <w:jc w:val="left"/>
        <w:rPr>
          <w:sz w:val="24"/>
        </w:rPr>
      </w:pPr>
      <w:r>
        <w:rPr>
          <w:sz w:val="24"/>
        </w:rPr>
        <w:t>The request must be addressed to the attention of Health Plan’s Provider Services</w:t>
      </w:r>
      <w:r>
        <w:rPr>
          <w:spacing w:val="-2"/>
          <w:sz w:val="24"/>
        </w:rPr>
        <w:t> </w:t>
      </w:r>
      <w:r>
        <w:rPr>
          <w:sz w:val="24"/>
        </w:rPr>
        <w:t>Department;</w:t>
      </w:r>
    </w:p>
    <w:p>
      <w:pPr>
        <w:pStyle w:val="ListParagraph"/>
        <w:numPr>
          <w:ilvl w:val="3"/>
          <w:numId w:val="1"/>
        </w:numPr>
        <w:tabs>
          <w:tab w:pos="1924" w:val="left" w:leader="none"/>
        </w:tabs>
        <w:spacing w:line="240" w:lineRule="auto" w:before="0" w:after="0"/>
        <w:ind w:left="1940" w:right="699" w:hanging="300"/>
        <w:jc w:val="left"/>
        <w:rPr>
          <w:sz w:val="24"/>
        </w:rPr>
      </w:pPr>
      <w:r>
        <w:rPr>
          <w:sz w:val="24"/>
        </w:rPr>
        <w:t>The request must clearly indicate “Denied Claims Review Request” or “Adjustment Request,”</w:t>
      </w:r>
      <w:r>
        <w:rPr>
          <w:spacing w:val="-2"/>
          <w:sz w:val="24"/>
        </w:rPr>
        <w:t> </w:t>
      </w:r>
      <w:r>
        <w:rPr>
          <w:sz w:val="24"/>
        </w:rPr>
        <w:t>and</w:t>
      </w:r>
    </w:p>
    <w:p>
      <w:pPr>
        <w:pStyle w:val="ListParagraph"/>
        <w:numPr>
          <w:ilvl w:val="3"/>
          <w:numId w:val="1"/>
        </w:numPr>
        <w:tabs>
          <w:tab w:pos="1928" w:val="left" w:leader="none"/>
        </w:tabs>
        <w:spacing w:line="240" w:lineRule="auto" w:before="0" w:after="0"/>
        <w:ind w:left="1940" w:right="760" w:hanging="240"/>
        <w:jc w:val="both"/>
        <w:rPr>
          <w:sz w:val="24"/>
        </w:rPr>
      </w:pPr>
      <w:r>
        <w:rPr>
          <w:sz w:val="24"/>
        </w:rPr>
        <w:t>The request must include all pertinent information, including, but</w:t>
      </w:r>
      <w:r>
        <w:rPr>
          <w:spacing w:val="-21"/>
          <w:sz w:val="24"/>
        </w:rPr>
        <w:t> </w:t>
      </w:r>
      <w:r>
        <w:rPr>
          <w:sz w:val="24"/>
        </w:rPr>
        <w:t>not limited to, claim number, Member identifier, denial letter, supporting medical records, and any new information pertinent to the</w:t>
      </w:r>
      <w:r>
        <w:rPr>
          <w:spacing w:val="-13"/>
          <w:sz w:val="24"/>
        </w:rPr>
        <w:t> </w:t>
      </w:r>
      <w:r>
        <w:rPr>
          <w:sz w:val="24"/>
        </w:rPr>
        <w:t>request.</w:t>
      </w:r>
    </w:p>
    <w:p>
      <w:pPr>
        <w:pStyle w:val="ListParagraph"/>
        <w:numPr>
          <w:ilvl w:val="3"/>
          <w:numId w:val="1"/>
        </w:numPr>
        <w:tabs>
          <w:tab w:pos="1924" w:val="left" w:leader="none"/>
        </w:tabs>
        <w:spacing w:line="240" w:lineRule="auto" w:before="0" w:after="0"/>
        <w:ind w:left="1940" w:right="196" w:hanging="360"/>
        <w:jc w:val="both"/>
        <w:rPr>
          <w:sz w:val="24"/>
        </w:rPr>
      </w:pPr>
      <w:r>
        <w:rPr/>
        <w:drawing>
          <wp:anchor distT="0" distB="0" distL="0" distR="0" allowOverlap="1" layoutInCell="1" locked="0" behindDoc="1" simplePos="0" relativeHeight="251507712">
            <wp:simplePos x="0" y="0"/>
            <wp:positionH relativeFrom="page">
              <wp:posOffset>1085767</wp:posOffset>
            </wp:positionH>
            <wp:positionV relativeFrom="paragraph">
              <wp:posOffset>153799</wp:posOffset>
            </wp:positionV>
            <wp:extent cx="5457811" cy="5248700"/>
            <wp:effectExtent l="0" t="0" r="0" b="0"/>
            <wp:wrapNone/>
            <wp:docPr id="5" name="image1.png"/>
            <wp:cNvGraphicFramePr>
              <a:graphicFrameLocks noChangeAspect="1"/>
            </wp:cNvGraphicFramePr>
            <a:graphic>
              <a:graphicData uri="http://schemas.openxmlformats.org/drawingml/2006/picture">
                <pic:pic>
                  <pic:nvPicPr>
                    <pic:cNvPr id="6" name="image1.png"/>
                    <pic:cNvPicPr/>
                  </pic:nvPicPr>
                  <pic:blipFill>
                    <a:blip r:embed="rId6" cstate="print"/>
                    <a:stretch>
                      <a:fillRect/>
                    </a:stretch>
                  </pic:blipFill>
                  <pic:spPr>
                    <a:xfrm>
                      <a:off x="0" y="0"/>
                      <a:ext cx="5457811" cy="5248700"/>
                    </a:xfrm>
                    <a:prstGeom prst="rect">
                      <a:avLst/>
                    </a:prstGeom>
                  </pic:spPr>
                </pic:pic>
              </a:graphicData>
            </a:graphic>
          </wp:anchor>
        </w:drawing>
      </w:r>
      <w:r>
        <w:rPr>
          <w:sz w:val="24"/>
        </w:rPr>
        <w:t>In the event that Health Plan denies a Provider claim, Provider must submit a request for review of the denied claim within one hundred</w:t>
      </w:r>
      <w:r>
        <w:rPr>
          <w:spacing w:val="-22"/>
          <w:sz w:val="24"/>
        </w:rPr>
        <w:t> </w:t>
      </w:r>
      <w:r>
        <w:rPr>
          <w:sz w:val="24"/>
        </w:rPr>
        <w:t>twenty</w:t>
      </w:r>
    </w:p>
    <w:p>
      <w:pPr>
        <w:pStyle w:val="BodyText"/>
        <w:spacing w:line="270" w:lineRule="exact"/>
        <w:ind w:left="1940" w:firstLine="0"/>
        <w:jc w:val="both"/>
      </w:pPr>
      <w:r>
        <w:rPr/>
        <w:t>(120) days of the initial denial.</w:t>
      </w:r>
    </w:p>
    <w:p>
      <w:pPr>
        <w:pStyle w:val="ListParagraph"/>
        <w:numPr>
          <w:ilvl w:val="3"/>
          <w:numId w:val="1"/>
        </w:numPr>
        <w:tabs>
          <w:tab w:pos="1919" w:val="left" w:leader="none"/>
        </w:tabs>
        <w:spacing w:line="240" w:lineRule="auto" w:before="2" w:after="0"/>
        <w:ind w:left="1940" w:right="306" w:hanging="360"/>
        <w:jc w:val="both"/>
        <w:rPr>
          <w:sz w:val="24"/>
        </w:rPr>
      </w:pPr>
      <w:r>
        <w:rPr>
          <w:sz w:val="24"/>
        </w:rPr>
        <w:t>In the event that Provider believes Health Plan incorrectly paid a Provider claim, Provider must submit a request for correction or adjustment within one hundred twenty (120) days of the date of the remittance</w:t>
      </w:r>
      <w:r>
        <w:rPr>
          <w:spacing w:val="-14"/>
          <w:sz w:val="24"/>
        </w:rPr>
        <w:t> </w:t>
      </w:r>
      <w:r>
        <w:rPr>
          <w:sz w:val="24"/>
        </w:rPr>
        <w:t>advice.</w:t>
      </w:r>
    </w:p>
    <w:p>
      <w:pPr>
        <w:pStyle w:val="ListParagraph"/>
        <w:numPr>
          <w:ilvl w:val="3"/>
          <w:numId w:val="1"/>
        </w:numPr>
        <w:tabs>
          <w:tab w:pos="1885" w:val="left" w:leader="none"/>
        </w:tabs>
        <w:spacing w:line="240" w:lineRule="auto" w:before="0" w:after="0"/>
        <w:ind w:left="1940" w:right="588" w:hanging="449"/>
        <w:jc w:val="both"/>
        <w:rPr>
          <w:sz w:val="24"/>
        </w:rPr>
      </w:pPr>
      <w:r>
        <w:rPr>
          <w:sz w:val="24"/>
        </w:rPr>
        <w:t>Health Plan will use its best efforts to resolve all disputed claims within thirty (30) days of</w:t>
      </w:r>
      <w:r>
        <w:rPr>
          <w:spacing w:val="-2"/>
          <w:sz w:val="24"/>
        </w:rPr>
        <w:t> </w:t>
      </w:r>
      <w:r>
        <w:rPr>
          <w:sz w:val="24"/>
        </w:rPr>
        <w:t>receipt.</w:t>
      </w:r>
    </w:p>
    <w:p>
      <w:pPr>
        <w:pStyle w:val="ListParagraph"/>
        <w:numPr>
          <w:ilvl w:val="1"/>
          <w:numId w:val="1"/>
        </w:numPr>
        <w:tabs>
          <w:tab w:pos="1220" w:val="left" w:leader="none"/>
        </w:tabs>
        <w:spacing w:line="272" w:lineRule="exact" w:before="225" w:after="0"/>
        <w:ind w:left="1220" w:right="0" w:hanging="360"/>
        <w:jc w:val="left"/>
        <w:rPr>
          <w:sz w:val="24"/>
        </w:rPr>
      </w:pPr>
      <w:r>
        <w:rPr>
          <w:sz w:val="24"/>
        </w:rPr>
        <w:t>Recoupment</w:t>
      </w:r>
      <w:r>
        <w:rPr>
          <w:spacing w:val="-1"/>
          <w:sz w:val="24"/>
        </w:rPr>
        <w:t> </w:t>
      </w:r>
      <w:r>
        <w:rPr>
          <w:sz w:val="24"/>
        </w:rPr>
        <w:t>Policy:</w:t>
      </w:r>
    </w:p>
    <w:p>
      <w:pPr>
        <w:pStyle w:val="BodyText"/>
        <w:ind w:right="877" w:firstLine="0"/>
      </w:pPr>
      <w:r>
        <w:rPr/>
        <w:t>In the event that Health Plan requests repayment for a claim that was overpaid or paid in duplicate, or repayment of funds that were paid which were not provided for under this Agreement, Provider must contest Health Plan’s request for repayment in writing within thirty (30) days of its receipt.</w:t>
      </w:r>
    </w:p>
    <w:p>
      <w:pPr>
        <w:pStyle w:val="ListParagraph"/>
        <w:numPr>
          <w:ilvl w:val="0"/>
          <w:numId w:val="1"/>
        </w:numPr>
        <w:tabs>
          <w:tab w:pos="859" w:val="left" w:leader="none"/>
          <w:tab w:pos="860" w:val="left" w:leader="none"/>
        </w:tabs>
        <w:spacing w:line="240" w:lineRule="auto" w:before="227" w:after="0"/>
        <w:ind w:left="860" w:right="0" w:hanging="720"/>
        <w:jc w:val="left"/>
        <w:rPr>
          <w:sz w:val="24"/>
        </w:rPr>
      </w:pPr>
      <w:r>
        <w:rPr>
          <w:sz w:val="24"/>
        </w:rPr>
        <w:t>Plan</w:t>
      </w:r>
      <w:r>
        <w:rPr>
          <w:spacing w:val="-2"/>
          <w:sz w:val="24"/>
        </w:rPr>
        <w:t> </w:t>
      </w:r>
      <w:r>
        <w:rPr>
          <w:sz w:val="24"/>
        </w:rPr>
        <w:t>Administration</w:t>
      </w:r>
    </w:p>
    <w:p>
      <w:pPr>
        <w:pStyle w:val="ListParagraph"/>
        <w:numPr>
          <w:ilvl w:val="1"/>
          <w:numId w:val="1"/>
        </w:numPr>
        <w:tabs>
          <w:tab w:pos="1220" w:val="left" w:leader="none"/>
        </w:tabs>
        <w:spacing w:line="240" w:lineRule="auto" w:before="227" w:after="0"/>
        <w:ind w:left="1219" w:right="157" w:hanging="360"/>
        <w:jc w:val="left"/>
        <w:rPr>
          <w:sz w:val="24"/>
        </w:rPr>
      </w:pPr>
      <w:r>
        <w:rPr>
          <w:sz w:val="24"/>
        </w:rPr>
        <w:t>Eligibility – Providers are responsible for requesting and verifying current eligibility information from the Member by asking the Member to produce the identification Card issued for the term that services are being rendered.  Members should share eligibility information with providers. If clients have lost their identification or forgotten to bring it to appointments, providers may verify their eligibility by contacting Member Services at (866) 449-6849 or by logging into the Molina Healthcare Provider Self Service Portal (ePortal) at</w:t>
      </w:r>
      <w:r>
        <w:rPr>
          <w:color w:val="0000FF"/>
          <w:sz w:val="24"/>
          <w:u w:val="single" w:color="0000FF"/>
        </w:rPr>
        <w:t> </w:t>
      </w:r>
      <w:hyperlink r:id="rId8">
        <w:r>
          <w:rPr>
            <w:color w:val="0000FF"/>
            <w:sz w:val="24"/>
            <w:u w:val="single" w:color="0000FF"/>
          </w:rPr>
          <w:t>https://eportal.molinahealthcare.com/eportal/providers/login.aspx</w:t>
        </w:r>
        <w:r>
          <w:rPr>
            <w:sz w:val="24"/>
          </w:rPr>
          <w:t>.</w:t>
        </w:r>
      </w:hyperlink>
      <w:r>
        <w:rPr>
          <w:sz w:val="24"/>
        </w:rPr>
        <w:t> (Use of ePortal requires provider</w:t>
      </w:r>
      <w:r>
        <w:rPr>
          <w:spacing w:val="-2"/>
          <w:sz w:val="24"/>
        </w:rPr>
        <w:t> </w:t>
      </w:r>
      <w:r>
        <w:rPr>
          <w:sz w:val="24"/>
        </w:rPr>
        <w:t>registration.)</w:t>
      </w:r>
    </w:p>
    <w:p>
      <w:pPr>
        <w:pStyle w:val="BodyText"/>
        <w:spacing w:before="121"/>
        <w:ind w:right="407" w:firstLine="0"/>
      </w:pPr>
      <w:r>
        <w:rPr/>
        <w:t>See attached </w:t>
      </w:r>
      <w:r>
        <w:rPr>
          <w:u w:val="single"/>
        </w:rPr>
        <w:t>Provider Prior Authorization Guide</w:t>
      </w:r>
      <w:r>
        <w:rPr/>
        <w:t> for relevant contact phone and fax numbers, and procedures/services requiring prior authorization.</w:t>
      </w:r>
    </w:p>
    <w:p>
      <w:pPr>
        <w:pStyle w:val="ListParagraph"/>
        <w:numPr>
          <w:ilvl w:val="1"/>
          <w:numId w:val="1"/>
        </w:numPr>
        <w:tabs>
          <w:tab w:pos="1220" w:val="left" w:leader="none"/>
        </w:tabs>
        <w:spacing w:line="272" w:lineRule="exact" w:before="226" w:after="0"/>
        <w:ind w:left="1220" w:right="0" w:hanging="360"/>
        <w:jc w:val="left"/>
        <w:rPr>
          <w:sz w:val="24"/>
        </w:rPr>
      </w:pPr>
      <w:r>
        <w:rPr>
          <w:sz w:val="24"/>
        </w:rPr>
        <w:t>Nondiscrimination</w:t>
      </w:r>
      <w:r>
        <w:rPr>
          <w:spacing w:val="-2"/>
          <w:sz w:val="24"/>
        </w:rPr>
        <w:t> </w:t>
      </w:r>
      <w:r>
        <w:rPr>
          <w:sz w:val="24"/>
        </w:rPr>
        <w:t>–</w:t>
      </w:r>
    </w:p>
    <w:p>
      <w:pPr>
        <w:pStyle w:val="BodyText"/>
        <w:ind w:right="483" w:firstLine="0"/>
      </w:pPr>
      <w:r>
        <w:rPr/>
        <w:t>Provider to render covered services to members in the same manner, by the same methods in accordance with the same standards, within the same time availability, and at the same level and quality as provided to the general public regardless of payor.</w:t>
      </w:r>
    </w:p>
    <w:p>
      <w:pPr>
        <w:pStyle w:val="ListParagraph"/>
        <w:numPr>
          <w:ilvl w:val="1"/>
          <w:numId w:val="1"/>
        </w:numPr>
        <w:tabs>
          <w:tab w:pos="1220" w:val="left" w:leader="none"/>
        </w:tabs>
        <w:spacing w:line="240" w:lineRule="auto" w:before="227" w:after="0"/>
        <w:ind w:left="1220" w:right="148" w:hanging="360"/>
        <w:jc w:val="left"/>
        <w:rPr>
          <w:sz w:val="24"/>
        </w:rPr>
      </w:pPr>
      <w:r>
        <w:rPr>
          <w:sz w:val="24"/>
        </w:rPr>
        <w:t>Record Transfer – IPA Provider shall cooperate in the timely transfer of Covered Persons’ medical records to any other healthcare provider at no charge (one time) and when required. If an IPA Provider is required to transfer the same medical records more than one time, he or she shall be entitled to reimbursement for postage and copy</w:t>
      </w:r>
      <w:r>
        <w:rPr>
          <w:spacing w:val="-1"/>
          <w:sz w:val="24"/>
        </w:rPr>
        <w:t> </w:t>
      </w:r>
      <w:r>
        <w:rPr>
          <w:sz w:val="24"/>
        </w:rPr>
        <w:t>charges.</w:t>
      </w:r>
    </w:p>
    <w:p>
      <w:pPr>
        <w:spacing w:after="0" w:line="240" w:lineRule="auto"/>
        <w:jc w:val="left"/>
        <w:rPr>
          <w:sz w:val="24"/>
        </w:rPr>
        <w:sectPr>
          <w:pgSz w:w="12240" w:h="15840"/>
          <w:pgMar w:header="0" w:footer="1017" w:top="1240" w:bottom="1200" w:left="1300" w:right="1300"/>
        </w:sectPr>
      </w:pPr>
    </w:p>
    <w:p>
      <w:pPr>
        <w:pStyle w:val="ListParagraph"/>
        <w:numPr>
          <w:ilvl w:val="0"/>
          <w:numId w:val="1"/>
        </w:numPr>
        <w:tabs>
          <w:tab w:pos="859" w:val="left" w:leader="none"/>
          <w:tab w:pos="860" w:val="left" w:leader="none"/>
        </w:tabs>
        <w:spacing w:line="240" w:lineRule="auto" w:before="99" w:after="0"/>
        <w:ind w:left="860" w:right="0" w:hanging="629"/>
        <w:jc w:val="left"/>
        <w:rPr>
          <w:sz w:val="24"/>
        </w:rPr>
      </w:pPr>
      <w:r>
        <w:rPr>
          <w:sz w:val="24"/>
        </w:rPr>
        <w:t>Patient</w:t>
      </w:r>
      <w:r>
        <w:rPr>
          <w:spacing w:val="-1"/>
          <w:sz w:val="24"/>
        </w:rPr>
        <w:t> </w:t>
      </w:r>
      <w:r>
        <w:rPr>
          <w:sz w:val="24"/>
        </w:rPr>
        <w:t>Info</w:t>
      </w:r>
    </w:p>
    <w:p>
      <w:pPr>
        <w:pStyle w:val="ListParagraph"/>
        <w:numPr>
          <w:ilvl w:val="1"/>
          <w:numId w:val="1"/>
        </w:numPr>
        <w:tabs>
          <w:tab w:pos="1220" w:val="left" w:leader="none"/>
        </w:tabs>
        <w:spacing w:line="240" w:lineRule="auto" w:before="227" w:after="0"/>
        <w:ind w:left="1220" w:right="0" w:hanging="360"/>
        <w:jc w:val="left"/>
        <w:rPr>
          <w:sz w:val="24"/>
        </w:rPr>
      </w:pPr>
      <w:r>
        <w:rPr>
          <w:sz w:val="24"/>
        </w:rPr>
        <w:t>ID Card – copy of card or proof of coverage</w:t>
      </w:r>
    </w:p>
    <w:p>
      <w:pPr>
        <w:pStyle w:val="ListParagraph"/>
        <w:numPr>
          <w:ilvl w:val="1"/>
          <w:numId w:val="1"/>
        </w:numPr>
        <w:tabs>
          <w:tab w:pos="1220" w:val="left" w:leader="none"/>
        </w:tabs>
        <w:spacing w:line="272" w:lineRule="exact" w:before="227" w:after="0"/>
        <w:ind w:left="1220" w:right="0" w:hanging="360"/>
        <w:jc w:val="left"/>
        <w:rPr>
          <w:sz w:val="24"/>
        </w:rPr>
      </w:pPr>
      <w:r>
        <w:rPr>
          <w:sz w:val="24"/>
        </w:rPr>
        <w:t>Patient Payment Responsibility</w:t>
      </w:r>
      <w:r>
        <w:rPr>
          <w:spacing w:val="1"/>
          <w:sz w:val="24"/>
        </w:rPr>
        <w:t> </w:t>
      </w:r>
      <w:r>
        <w:rPr>
          <w:sz w:val="24"/>
        </w:rPr>
        <w:t>–</w:t>
      </w:r>
    </w:p>
    <w:p>
      <w:pPr>
        <w:pStyle w:val="ListParagraph"/>
        <w:numPr>
          <w:ilvl w:val="2"/>
          <w:numId w:val="1"/>
        </w:numPr>
        <w:tabs>
          <w:tab w:pos="1580" w:val="left" w:leader="none"/>
        </w:tabs>
        <w:spacing w:line="271" w:lineRule="exact" w:before="0" w:after="0"/>
        <w:ind w:left="1580" w:right="0" w:hanging="360"/>
        <w:jc w:val="left"/>
        <w:rPr>
          <w:sz w:val="24"/>
        </w:rPr>
      </w:pPr>
      <w:r>
        <w:rPr>
          <w:sz w:val="24"/>
        </w:rPr>
        <w:t>no balance billing for covered</w:t>
      </w:r>
      <w:r>
        <w:rPr>
          <w:spacing w:val="-3"/>
          <w:sz w:val="24"/>
        </w:rPr>
        <w:t> </w:t>
      </w:r>
      <w:r>
        <w:rPr>
          <w:sz w:val="24"/>
        </w:rPr>
        <w:t>services</w:t>
      </w:r>
    </w:p>
    <w:p>
      <w:pPr>
        <w:pStyle w:val="ListParagraph"/>
        <w:numPr>
          <w:ilvl w:val="2"/>
          <w:numId w:val="1"/>
        </w:numPr>
        <w:tabs>
          <w:tab w:pos="1580" w:val="left" w:leader="none"/>
        </w:tabs>
        <w:spacing w:line="240" w:lineRule="auto" w:before="0" w:after="0"/>
        <w:ind w:left="1579" w:right="405" w:hanging="360"/>
        <w:jc w:val="left"/>
        <w:rPr>
          <w:sz w:val="24"/>
        </w:rPr>
      </w:pPr>
      <w:r>
        <w:rPr/>
        <w:drawing>
          <wp:anchor distT="0" distB="0" distL="0" distR="0" allowOverlap="1" layoutInCell="1" locked="0" behindDoc="1" simplePos="0" relativeHeight="251508736">
            <wp:simplePos x="0" y="0"/>
            <wp:positionH relativeFrom="page">
              <wp:posOffset>1085767</wp:posOffset>
            </wp:positionH>
            <wp:positionV relativeFrom="paragraph">
              <wp:posOffset>385446</wp:posOffset>
            </wp:positionV>
            <wp:extent cx="5457811" cy="5248700"/>
            <wp:effectExtent l="0" t="0" r="0" b="0"/>
            <wp:wrapNone/>
            <wp:docPr id="7" name="image1.png"/>
            <wp:cNvGraphicFramePr>
              <a:graphicFrameLocks noChangeAspect="1"/>
            </wp:cNvGraphicFramePr>
            <a:graphic>
              <a:graphicData uri="http://schemas.openxmlformats.org/drawingml/2006/picture">
                <pic:pic>
                  <pic:nvPicPr>
                    <pic:cNvPr id="8" name="image1.png"/>
                    <pic:cNvPicPr/>
                  </pic:nvPicPr>
                  <pic:blipFill>
                    <a:blip r:embed="rId6" cstate="print"/>
                    <a:stretch>
                      <a:fillRect/>
                    </a:stretch>
                  </pic:blipFill>
                  <pic:spPr>
                    <a:xfrm>
                      <a:off x="0" y="0"/>
                      <a:ext cx="5457811" cy="5248700"/>
                    </a:xfrm>
                    <a:prstGeom prst="rect">
                      <a:avLst/>
                    </a:prstGeom>
                  </pic:spPr>
                </pic:pic>
              </a:graphicData>
            </a:graphic>
          </wp:anchor>
        </w:drawing>
      </w:r>
      <w:r>
        <w:rPr>
          <w:sz w:val="24"/>
        </w:rPr>
        <w:t>must have advance notice signed before collecting for non-covered services and inform patient prior to rendering</w:t>
      </w:r>
      <w:r>
        <w:rPr>
          <w:spacing w:val="-2"/>
          <w:sz w:val="24"/>
        </w:rPr>
        <w:t> </w:t>
      </w:r>
      <w:r>
        <w:rPr>
          <w:sz w:val="24"/>
        </w:rPr>
        <w:t>service</w:t>
      </w:r>
    </w:p>
    <w:p>
      <w:pPr>
        <w:pStyle w:val="ListParagraph"/>
        <w:numPr>
          <w:ilvl w:val="1"/>
          <w:numId w:val="1"/>
        </w:numPr>
        <w:tabs>
          <w:tab w:pos="1220" w:val="left" w:leader="none"/>
        </w:tabs>
        <w:spacing w:line="240" w:lineRule="auto" w:before="228" w:after="0"/>
        <w:ind w:left="1220" w:right="0" w:hanging="360"/>
        <w:jc w:val="left"/>
        <w:rPr>
          <w:sz w:val="24"/>
        </w:rPr>
      </w:pPr>
      <w:r>
        <w:rPr>
          <w:sz w:val="24"/>
        </w:rPr>
        <w:t>Verification of Eligibility – always</w:t>
      </w:r>
      <w:r>
        <w:rPr>
          <w:spacing w:val="-4"/>
          <w:sz w:val="24"/>
        </w:rPr>
        <w:t> </w:t>
      </w:r>
      <w:r>
        <w:rPr>
          <w:sz w:val="24"/>
        </w:rPr>
        <w:t>verify.</w:t>
      </w:r>
    </w:p>
    <w:p>
      <w:pPr>
        <w:pStyle w:val="ListParagraph"/>
        <w:numPr>
          <w:ilvl w:val="1"/>
          <w:numId w:val="1"/>
        </w:numPr>
        <w:tabs>
          <w:tab w:pos="1220" w:val="left" w:leader="none"/>
        </w:tabs>
        <w:spacing w:line="240" w:lineRule="auto" w:before="225" w:after="0"/>
        <w:ind w:left="1219" w:right="165" w:hanging="360"/>
        <w:jc w:val="left"/>
        <w:rPr>
          <w:sz w:val="24"/>
        </w:rPr>
      </w:pPr>
      <w:r>
        <w:rPr>
          <w:sz w:val="24"/>
        </w:rPr>
        <w:t>Copayments and Deductibles – Copayments are the only amounts Providers may collect from CHIP Members, except for costs associated with unauthorized non- emergency services provided to a Member by out-of-network providers for non- covered services. Providers shall not charge: (i) cost-sharing or deductibles to CHIP Members of Native American Tribes; (ii) copayment or deductibles to a CHIP Member with an ID card that indicates the Member has met his or her cost- sharing obligation for the balance of their term of coverage; or (iii) copayments for well-child or well-baby visits or</w:t>
      </w:r>
      <w:r>
        <w:rPr>
          <w:spacing w:val="-2"/>
          <w:sz w:val="24"/>
        </w:rPr>
        <w:t> </w:t>
      </w:r>
      <w:r>
        <w:rPr>
          <w:sz w:val="24"/>
        </w:rPr>
        <w:t>immunizations.</w:t>
      </w:r>
    </w:p>
    <w:p>
      <w:pPr>
        <w:pStyle w:val="ListParagraph"/>
        <w:numPr>
          <w:ilvl w:val="0"/>
          <w:numId w:val="1"/>
        </w:numPr>
        <w:tabs>
          <w:tab w:pos="859" w:val="left" w:leader="none"/>
          <w:tab w:pos="860" w:val="left" w:leader="none"/>
        </w:tabs>
        <w:spacing w:line="240" w:lineRule="auto" w:before="228" w:after="0"/>
        <w:ind w:left="860" w:right="0" w:hanging="720"/>
        <w:jc w:val="left"/>
        <w:rPr>
          <w:sz w:val="24"/>
        </w:rPr>
      </w:pPr>
      <w:r>
        <w:rPr>
          <w:sz w:val="24"/>
        </w:rPr>
        <w:t>Physician</w:t>
      </w:r>
      <w:r>
        <w:rPr>
          <w:spacing w:val="-1"/>
          <w:sz w:val="24"/>
        </w:rPr>
        <w:t> </w:t>
      </w:r>
      <w:r>
        <w:rPr>
          <w:sz w:val="24"/>
        </w:rPr>
        <w:t>Rights</w:t>
      </w:r>
    </w:p>
    <w:p>
      <w:pPr>
        <w:pStyle w:val="ListParagraph"/>
        <w:numPr>
          <w:ilvl w:val="1"/>
          <w:numId w:val="1"/>
        </w:numPr>
        <w:tabs>
          <w:tab w:pos="1220" w:val="left" w:leader="none"/>
        </w:tabs>
        <w:spacing w:line="240" w:lineRule="auto" w:before="227" w:after="0"/>
        <w:ind w:left="1220" w:right="439" w:hanging="360"/>
        <w:jc w:val="left"/>
        <w:rPr>
          <w:sz w:val="24"/>
        </w:rPr>
      </w:pPr>
      <w:r>
        <w:rPr>
          <w:sz w:val="24"/>
        </w:rPr>
        <w:t>Opt out notification period – IPA Providers shall have the right to withdraw</w:t>
      </w:r>
      <w:r>
        <w:rPr>
          <w:spacing w:val="-23"/>
          <w:sz w:val="24"/>
        </w:rPr>
        <w:t> </w:t>
      </w:r>
      <w:r>
        <w:rPr>
          <w:sz w:val="24"/>
        </w:rPr>
        <w:t>from</w:t>
      </w:r>
      <w:r>
        <w:rPr>
          <w:sz w:val="24"/>
          <w:shd w:fill="FFFFFF" w:color="auto" w:val="clear"/>
        </w:rPr>
        <w:t> the panel at any time upon thirty (30) days notice to IPA,</w:t>
      </w:r>
      <w:r>
        <w:rPr>
          <w:sz w:val="24"/>
        </w:rPr>
        <w:t> which shall furnish a copy of such notice to</w:t>
      </w:r>
      <w:r>
        <w:rPr>
          <w:spacing w:val="-1"/>
          <w:sz w:val="24"/>
        </w:rPr>
        <w:t> </w:t>
      </w:r>
      <w:r>
        <w:rPr>
          <w:sz w:val="24"/>
        </w:rPr>
        <w:t>HMO.</w:t>
      </w:r>
    </w:p>
    <w:p>
      <w:pPr>
        <w:pStyle w:val="ListParagraph"/>
        <w:numPr>
          <w:ilvl w:val="1"/>
          <w:numId w:val="1"/>
        </w:numPr>
        <w:tabs>
          <w:tab w:pos="1220" w:val="left" w:leader="none"/>
        </w:tabs>
        <w:spacing w:line="240" w:lineRule="auto" w:before="225" w:after="0"/>
        <w:ind w:left="1219" w:right="596" w:hanging="360"/>
        <w:jc w:val="left"/>
        <w:rPr>
          <w:sz w:val="24"/>
        </w:rPr>
      </w:pPr>
      <w:r>
        <w:rPr/>
        <w:pict>
          <v:shape style="position:absolute;margin-left:70.560005pt;margin-top:39.648144pt;width:470.9pt;height:49.95pt;mso-position-horizontal-relative:page;mso-position-vertical-relative:paragraph;z-index:-251806720" coordorigin="1411,793" coordsize="9418,999" path="m10829,793l1411,793,1411,1021,2131,1021,2131,1292,1411,1292,1411,1520,2131,1520,2131,1791,10829,1791,10829,1520,10829,1292,10829,1021,10829,793e" filled="true" fillcolor="#ffffff" stroked="false">
            <v:path arrowok="t"/>
            <v:fill type="solid"/>
            <w10:wrap type="none"/>
          </v:shape>
        </w:pict>
      </w:r>
      <w:r>
        <w:rPr>
          <w:sz w:val="24"/>
        </w:rPr>
        <w:t>Closing of Patient Panel – Provider shall provide to IPA thirty (30) days written notice prior to provider’s decision to no longer accept Covered</w:t>
      </w:r>
      <w:r>
        <w:rPr>
          <w:spacing w:val="-10"/>
          <w:sz w:val="24"/>
        </w:rPr>
        <w:t> </w:t>
      </w:r>
      <w:r>
        <w:rPr>
          <w:sz w:val="24"/>
        </w:rPr>
        <w:t>Persons.</w:t>
      </w:r>
    </w:p>
    <w:p>
      <w:pPr>
        <w:pStyle w:val="ListParagraph"/>
        <w:numPr>
          <w:ilvl w:val="1"/>
          <w:numId w:val="1"/>
        </w:numPr>
        <w:tabs>
          <w:tab w:pos="1220" w:val="left" w:leader="none"/>
        </w:tabs>
        <w:spacing w:line="240" w:lineRule="auto" w:before="229" w:after="0"/>
        <w:ind w:left="1220" w:right="0" w:hanging="360"/>
        <w:jc w:val="left"/>
        <w:rPr>
          <w:sz w:val="24"/>
        </w:rPr>
      </w:pPr>
      <w:r>
        <w:rPr>
          <w:sz w:val="24"/>
        </w:rPr>
        <w:t>Right to use in office lab and</w:t>
      </w:r>
      <w:r>
        <w:rPr>
          <w:spacing w:val="-4"/>
          <w:sz w:val="24"/>
        </w:rPr>
        <w:t> </w:t>
      </w:r>
      <w:r>
        <w:rPr>
          <w:sz w:val="24"/>
        </w:rPr>
        <w:t>x-ray</w:t>
      </w:r>
    </w:p>
    <w:p>
      <w:pPr>
        <w:pStyle w:val="ListParagraph"/>
        <w:numPr>
          <w:ilvl w:val="1"/>
          <w:numId w:val="1"/>
        </w:numPr>
        <w:tabs>
          <w:tab w:pos="1220" w:val="left" w:leader="none"/>
        </w:tabs>
        <w:spacing w:line="240" w:lineRule="auto" w:before="227" w:after="0"/>
        <w:ind w:left="1220" w:right="0" w:hanging="360"/>
        <w:jc w:val="left"/>
        <w:rPr>
          <w:sz w:val="24"/>
        </w:rPr>
      </w:pPr>
      <w:r>
        <w:rPr>
          <w:sz w:val="24"/>
        </w:rPr>
        <w:t>Payment for medical records – as allowed by state at the state</w:t>
      </w:r>
      <w:r>
        <w:rPr>
          <w:spacing w:val="-8"/>
          <w:sz w:val="24"/>
        </w:rPr>
        <w:t> </w:t>
      </w:r>
      <w:r>
        <w:rPr>
          <w:sz w:val="24"/>
        </w:rPr>
        <w:t>rate.</w:t>
      </w:r>
    </w:p>
    <w:p>
      <w:pPr>
        <w:pStyle w:val="ListParagraph"/>
        <w:numPr>
          <w:ilvl w:val="0"/>
          <w:numId w:val="1"/>
        </w:numPr>
        <w:tabs>
          <w:tab w:pos="859" w:val="left" w:leader="none"/>
          <w:tab w:pos="860" w:val="left" w:leader="none"/>
        </w:tabs>
        <w:spacing w:line="240" w:lineRule="auto" w:before="225" w:after="0"/>
        <w:ind w:left="860" w:right="0" w:hanging="720"/>
        <w:jc w:val="left"/>
        <w:rPr>
          <w:sz w:val="24"/>
        </w:rPr>
      </w:pPr>
      <w:r>
        <w:rPr>
          <w:sz w:val="24"/>
        </w:rPr>
        <w:t>Physician</w:t>
      </w:r>
      <w:r>
        <w:rPr>
          <w:spacing w:val="-1"/>
          <w:sz w:val="24"/>
        </w:rPr>
        <w:t> </w:t>
      </w:r>
      <w:r>
        <w:rPr>
          <w:sz w:val="24"/>
        </w:rPr>
        <w:t>Responsibilities</w:t>
      </w:r>
    </w:p>
    <w:p>
      <w:pPr>
        <w:pStyle w:val="BodyText"/>
        <w:spacing w:before="227"/>
        <w:ind w:left="860" w:right="1657" w:firstLine="0"/>
      </w:pPr>
      <w:r>
        <w:rPr>
          <w:u w:val="single"/>
        </w:rPr>
        <w:t>THE TERMS AND FEE SCHEDULE OF THIS AGREEMENT MUST BE KEPT</w:t>
      </w:r>
      <w:r>
        <w:rPr/>
        <w:t> </w:t>
      </w:r>
      <w:r>
        <w:rPr>
          <w:u w:val="single"/>
        </w:rPr>
        <w:t>CONFIDENTIAL</w:t>
      </w:r>
    </w:p>
    <w:p>
      <w:pPr>
        <w:pStyle w:val="ListParagraph"/>
        <w:numPr>
          <w:ilvl w:val="1"/>
          <w:numId w:val="1"/>
        </w:numPr>
        <w:tabs>
          <w:tab w:pos="1220" w:val="left" w:leader="none"/>
        </w:tabs>
        <w:spacing w:line="240" w:lineRule="auto" w:before="228" w:after="0"/>
        <w:ind w:left="1220" w:right="0" w:hanging="360"/>
        <w:jc w:val="left"/>
        <w:rPr>
          <w:sz w:val="24"/>
        </w:rPr>
      </w:pPr>
      <w:r>
        <w:rPr>
          <w:sz w:val="24"/>
        </w:rPr>
        <w:t>Agreement</w:t>
      </w:r>
      <w:r>
        <w:rPr>
          <w:spacing w:val="-1"/>
          <w:sz w:val="24"/>
        </w:rPr>
        <w:t> </w:t>
      </w:r>
      <w:r>
        <w:rPr>
          <w:sz w:val="24"/>
        </w:rPr>
        <w:t>specific</w:t>
      </w:r>
    </w:p>
    <w:p>
      <w:pPr>
        <w:pStyle w:val="ListParagraph"/>
        <w:numPr>
          <w:ilvl w:val="1"/>
          <w:numId w:val="1"/>
        </w:numPr>
        <w:tabs>
          <w:tab w:pos="1220" w:val="left" w:leader="none"/>
        </w:tabs>
        <w:spacing w:line="240" w:lineRule="auto" w:before="225" w:after="0"/>
        <w:ind w:left="1220" w:right="0" w:hanging="360"/>
        <w:jc w:val="left"/>
        <w:rPr>
          <w:sz w:val="24"/>
        </w:rPr>
      </w:pPr>
      <w:r>
        <w:rPr>
          <w:sz w:val="24"/>
        </w:rPr>
        <w:t>Covered</w:t>
      </w:r>
      <w:r>
        <w:rPr>
          <w:spacing w:val="-1"/>
          <w:sz w:val="24"/>
        </w:rPr>
        <w:t> </w:t>
      </w:r>
      <w:r>
        <w:rPr>
          <w:sz w:val="24"/>
        </w:rPr>
        <w:t>Services:</w:t>
      </w:r>
    </w:p>
    <w:p>
      <w:pPr>
        <w:pStyle w:val="BodyText"/>
        <w:spacing w:before="1"/>
        <w:ind w:right="158" w:firstLine="0"/>
      </w:pPr>
      <w:r>
        <w:rPr/>
        <w:t>IPA Providers will make necessary and appropriate arrangements to assure the availability of Covered Services to Covered Persons on a twenty-four (24) hour per day, seven (7) day per week basis, including arrangements to assure coverage of Covered Persons after-hours or when IPA Provider is otherwise absent. IPA and IPA Provider further agree that such arrangements will be with a health care professional that is a Participating Health Care Provider, except in cases where, in the professional judgment of IPA Provider, arrangements should be made with a non-Participating Health Care</w:t>
      </w:r>
      <w:r>
        <w:rPr>
          <w:spacing w:val="-3"/>
        </w:rPr>
        <w:t> </w:t>
      </w:r>
      <w:r>
        <w:rPr/>
        <w:t>Provider.</w:t>
      </w:r>
    </w:p>
    <w:p>
      <w:pPr>
        <w:spacing w:after="0"/>
        <w:sectPr>
          <w:pgSz w:w="12240" w:h="15840"/>
          <w:pgMar w:header="0" w:footer="1017" w:top="1500" w:bottom="1200" w:left="1300" w:right="1300"/>
        </w:sectPr>
      </w:pPr>
    </w:p>
    <w:p>
      <w:pPr>
        <w:pStyle w:val="BodyText"/>
        <w:spacing w:before="88"/>
        <w:ind w:right="804" w:firstLine="0"/>
      </w:pPr>
      <w:r>
        <w:rPr/>
        <w:t>Providers shall meet the applicable standards for timely access to care and services, taking into account the urgency of the need for the service.</w:t>
      </w:r>
    </w:p>
    <w:p>
      <w:pPr>
        <w:pStyle w:val="BodyText"/>
        <w:spacing w:before="11"/>
        <w:ind w:left="0" w:firstLine="0"/>
        <w:rPr>
          <w:sz w:val="23"/>
        </w:rPr>
      </w:pPr>
    </w:p>
    <w:p>
      <w:pPr>
        <w:pStyle w:val="ListParagraph"/>
        <w:numPr>
          <w:ilvl w:val="1"/>
          <w:numId w:val="1"/>
        </w:numPr>
        <w:tabs>
          <w:tab w:pos="1220" w:val="left" w:leader="none"/>
        </w:tabs>
        <w:spacing w:line="272" w:lineRule="exact" w:before="0" w:after="0"/>
        <w:ind w:left="1220" w:right="0" w:hanging="360"/>
        <w:jc w:val="left"/>
        <w:rPr>
          <w:sz w:val="24"/>
        </w:rPr>
      </w:pPr>
      <w:r>
        <w:rPr>
          <w:sz w:val="24"/>
        </w:rPr>
        <w:t>IPA Provider Malpractice</w:t>
      </w:r>
      <w:r>
        <w:rPr>
          <w:spacing w:val="-2"/>
          <w:sz w:val="24"/>
        </w:rPr>
        <w:t> </w:t>
      </w:r>
      <w:r>
        <w:rPr>
          <w:sz w:val="24"/>
        </w:rPr>
        <w:t>Insurance:</w:t>
      </w:r>
    </w:p>
    <w:p>
      <w:pPr>
        <w:pStyle w:val="BodyText"/>
        <w:ind w:right="401" w:firstLine="0"/>
      </w:pPr>
      <w:r>
        <w:rPr/>
        <w:t>Insurance shall be through a licensed carrier, and in a minimum amount of one hundred thousand dollars ($100,000.00) per occurrence, and have an annual aggregate of no less than three hundred thousand dollars ($300,000.00).</w:t>
      </w:r>
    </w:p>
    <w:p>
      <w:pPr>
        <w:pStyle w:val="BodyText"/>
        <w:ind w:left="0" w:firstLine="0"/>
      </w:pPr>
    </w:p>
    <w:p>
      <w:pPr>
        <w:pStyle w:val="ListParagraph"/>
        <w:numPr>
          <w:ilvl w:val="1"/>
          <w:numId w:val="1"/>
        </w:numPr>
        <w:tabs>
          <w:tab w:pos="1220" w:val="left" w:leader="none"/>
        </w:tabs>
        <w:spacing w:line="272" w:lineRule="exact" w:before="0" w:after="0"/>
        <w:ind w:left="1220" w:right="0" w:hanging="360"/>
        <w:jc w:val="left"/>
        <w:rPr>
          <w:sz w:val="24"/>
        </w:rPr>
      </w:pPr>
      <w:r>
        <w:rPr/>
        <w:drawing>
          <wp:anchor distT="0" distB="0" distL="0" distR="0" allowOverlap="1" layoutInCell="1" locked="0" behindDoc="1" simplePos="0" relativeHeight="251510784">
            <wp:simplePos x="0" y="0"/>
            <wp:positionH relativeFrom="page">
              <wp:posOffset>1085767</wp:posOffset>
            </wp:positionH>
            <wp:positionV relativeFrom="paragraph">
              <wp:posOffset>153799</wp:posOffset>
            </wp:positionV>
            <wp:extent cx="5457811" cy="5248700"/>
            <wp:effectExtent l="0" t="0" r="0" b="0"/>
            <wp:wrapNone/>
            <wp:docPr id="9" name="image2.png"/>
            <wp:cNvGraphicFramePr>
              <a:graphicFrameLocks noChangeAspect="1"/>
            </wp:cNvGraphicFramePr>
            <a:graphic>
              <a:graphicData uri="http://schemas.openxmlformats.org/drawingml/2006/picture">
                <pic:pic>
                  <pic:nvPicPr>
                    <pic:cNvPr id="10" name="image2.png"/>
                    <pic:cNvPicPr/>
                  </pic:nvPicPr>
                  <pic:blipFill>
                    <a:blip r:embed="rId9" cstate="print"/>
                    <a:stretch>
                      <a:fillRect/>
                    </a:stretch>
                  </pic:blipFill>
                  <pic:spPr>
                    <a:xfrm>
                      <a:off x="0" y="0"/>
                      <a:ext cx="5457811" cy="5248700"/>
                    </a:xfrm>
                    <a:prstGeom prst="rect">
                      <a:avLst/>
                    </a:prstGeom>
                  </pic:spPr>
                </pic:pic>
              </a:graphicData>
            </a:graphic>
          </wp:anchor>
        </w:drawing>
      </w:r>
      <w:r>
        <w:rPr>
          <w:sz w:val="24"/>
        </w:rPr>
        <w:t>Coverage:</w:t>
      </w:r>
    </w:p>
    <w:p>
      <w:pPr>
        <w:pStyle w:val="BodyText"/>
        <w:ind w:left="1219" w:right="158" w:firstLine="60"/>
      </w:pPr>
      <w:r>
        <w:rPr/>
        <w:t>IPA Providers to provide to Covered Persons those Covered Services in accordance with the Provider Manual, the generally accepted standards of medical practice and care in the IPA Provider’s community, the scope of IPA Provider’s license and the terms and conditions of this Agreement. IPA Providers will make necessary and appropriate arrangements to assure the availability of Covered Services to Covered Persons on a twenty-four (24) hour per day, seven</w:t>
      </w:r>
    </w:p>
    <w:p>
      <w:pPr>
        <w:pStyle w:val="BodyText"/>
        <w:ind w:right="162" w:firstLine="0"/>
      </w:pPr>
      <w:r>
        <w:rPr/>
        <w:t>(7) day per week basis, including arrangements to assure coverage of Covered Persons after-hours or when IPA Provider is otherwise absent.  IPA Provider further agrees that such arrangements will be with a health care professional that is a Participating Health Care Provider, except in cases where, in the professional judgment of IPA Provider, arrangements should be made with a non-Participating Health Care</w:t>
      </w:r>
      <w:r>
        <w:rPr>
          <w:spacing w:val="-3"/>
        </w:rPr>
        <w:t> </w:t>
      </w:r>
      <w:r>
        <w:rPr/>
        <w:t>Provider.</w:t>
      </w:r>
    </w:p>
    <w:p>
      <w:pPr>
        <w:pStyle w:val="BodyText"/>
        <w:spacing w:before="10"/>
        <w:ind w:left="0" w:firstLine="0"/>
        <w:rPr>
          <w:sz w:val="21"/>
        </w:rPr>
      </w:pPr>
    </w:p>
    <w:p>
      <w:pPr>
        <w:pStyle w:val="ListParagraph"/>
        <w:numPr>
          <w:ilvl w:val="1"/>
          <w:numId w:val="1"/>
        </w:numPr>
        <w:tabs>
          <w:tab w:pos="1220" w:val="left" w:leader="none"/>
        </w:tabs>
        <w:spacing w:line="240" w:lineRule="auto" w:before="0" w:after="0"/>
        <w:ind w:left="1220" w:right="0" w:hanging="360"/>
        <w:jc w:val="left"/>
        <w:rPr>
          <w:sz w:val="24"/>
        </w:rPr>
      </w:pPr>
      <w:r>
        <w:rPr>
          <w:sz w:val="24"/>
        </w:rPr>
        <w:t>Accessibility</w:t>
      </w:r>
    </w:p>
    <w:p>
      <w:pPr>
        <w:pStyle w:val="BodyText"/>
        <w:spacing w:before="2"/>
        <w:ind w:left="1219" w:right="451" w:firstLine="0"/>
      </w:pPr>
      <w:r>
        <w:rPr/>
        <w:t>If Provider is a PCP, Provider’s services must be accessible to Covered Persons 24 hours per day, 7 days per week, and Provider must have acceptable after- hours telephone availability.</w:t>
      </w:r>
    </w:p>
    <w:p>
      <w:pPr>
        <w:pStyle w:val="BodyText"/>
        <w:spacing w:before="11"/>
        <w:ind w:left="0" w:firstLine="0"/>
        <w:rPr>
          <w:sz w:val="21"/>
        </w:rPr>
      </w:pPr>
    </w:p>
    <w:p>
      <w:pPr>
        <w:pStyle w:val="ListParagraph"/>
        <w:numPr>
          <w:ilvl w:val="0"/>
          <w:numId w:val="1"/>
        </w:numPr>
        <w:tabs>
          <w:tab w:pos="859" w:val="left" w:leader="none"/>
          <w:tab w:pos="860" w:val="left" w:leader="none"/>
        </w:tabs>
        <w:spacing w:line="240" w:lineRule="auto" w:before="0" w:after="0"/>
        <w:ind w:left="860" w:right="0" w:hanging="720"/>
        <w:jc w:val="left"/>
        <w:rPr>
          <w:sz w:val="24"/>
        </w:rPr>
      </w:pPr>
      <w:r>
        <w:rPr>
          <w:sz w:val="24"/>
        </w:rPr>
        <w:t>Provider</w:t>
      </w:r>
      <w:r>
        <w:rPr>
          <w:spacing w:val="-1"/>
          <w:sz w:val="24"/>
        </w:rPr>
        <w:t> </w:t>
      </w:r>
      <w:r>
        <w:rPr>
          <w:sz w:val="24"/>
        </w:rPr>
        <w:t>Manual</w:t>
      </w:r>
    </w:p>
    <w:p>
      <w:pPr>
        <w:pStyle w:val="BodyText"/>
        <w:spacing w:before="2"/>
        <w:ind w:left="0" w:firstLine="0"/>
        <w:rPr>
          <w:sz w:val="15"/>
        </w:rPr>
      </w:pPr>
    </w:p>
    <w:p>
      <w:pPr>
        <w:pStyle w:val="BodyText"/>
        <w:spacing w:before="100"/>
        <w:ind w:left="860" w:right="1119" w:firstLine="0"/>
      </w:pPr>
      <w:r>
        <w:rPr/>
        <w:t>HEALTH CARE PROVIDER MANUAL AVAILABLE PER REQUEST FROM POET IN ELECTRONIC FORMAT OR</w:t>
      </w:r>
    </w:p>
    <w:p>
      <w:pPr>
        <w:pStyle w:val="BodyText"/>
        <w:spacing w:line="270" w:lineRule="exact"/>
        <w:ind w:left="860" w:firstLine="0"/>
      </w:pPr>
      <w:hyperlink r:id="rId10">
        <w:r>
          <w:rPr>
            <w:color w:val="0000FF"/>
            <w:u w:val="single" w:color="0000FF"/>
          </w:rPr>
          <w:t>http://www.molinahealthcare.com/medicaid/providers/tx/manual/Pages/home.aspx</w:t>
        </w:r>
      </w:hyperlink>
    </w:p>
    <w:p>
      <w:pPr>
        <w:pStyle w:val="BodyText"/>
        <w:spacing w:before="3"/>
        <w:ind w:left="0" w:firstLine="0"/>
        <w:rPr>
          <w:sz w:val="15"/>
        </w:rPr>
      </w:pPr>
    </w:p>
    <w:p>
      <w:pPr>
        <w:pStyle w:val="BodyText"/>
        <w:spacing w:before="100"/>
        <w:ind w:left="860" w:right="355" w:firstLine="0"/>
      </w:pPr>
      <w:r>
        <w:rPr/>
        <w:t>Health Plan (will use best efforts) to notify IPA and/or Providers of changes to the Provider Manual thirty (30) days for material changes prior to their implementation.</w:t>
      </w:r>
    </w:p>
    <w:p>
      <w:pPr>
        <w:pStyle w:val="BodyText"/>
        <w:ind w:left="0" w:firstLine="0"/>
      </w:pPr>
    </w:p>
    <w:p>
      <w:pPr>
        <w:pStyle w:val="BodyText"/>
        <w:ind w:left="859" w:right="740" w:firstLine="0"/>
      </w:pPr>
      <w:r>
        <w:rPr/>
        <w:t>If there is any conflict between the IPA Agreement and the Provider Manual, the Agreement shall control.</w:t>
      </w:r>
    </w:p>
    <w:p>
      <w:pPr>
        <w:pStyle w:val="BodyText"/>
        <w:ind w:left="859" w:right="500" w:firstLine="0"/>
      </w:pPr>
      <w:r>
        <w:rPr/>
        <w:t>Also important is the Texas Medicaid Provider Procedures Manual. The pages included in this packet are from Vol. 1. The weblink is: </w:t>
      </w:r>
      <w:hyperlink r:id="rId11">
        <w:r>
          <w:rPr>
            <w:color w:val="0000FF"/>
            <w:u w:val="single" w:color="0000FF"/>
          </w:rPr>
          <w:t>http://www.tmhp.com/HTMLmanuals/TMPPM/2011/Frameset.html</w:t>
        </w:r>
      </w:hyperlink>
    </w:p>
    <w:sectPr>
      <w:pgSz w:w="12240" w:h="15840"/>
      <w:pgMar w:header="0" w:footer="1017" w:top="1240" w:bottom="1200" w:left="1300" w:right="1300"/>
    </w:sectPr>
  </w:body>
</w:document>
</file>

<file path=word/fontTable.xml><?xml version="1.0" encoding="utf-8"?>
<w:fonts xmlns:r="http://schemas.openxmlformats.org/officeDocument/2006/relationships" xmlns:w="http://schemas.openxmlformats.org/wordprocessingml/2006/main">
  <w:font w:name="Times New Roman">
    <w:altName w:val="Times New Roman"/>
    <w:charset w:val="0"/>
    <w:family w:val="roman"/>
    <w:pitch w:val="variable"/>
  </w:font>
  <w:font w:name="Arial">
    <w:altName w:val="Arial"/>
    <w:charset w:val="0"/>
    <w:family w:val="swiss"/>
    <w:pitch w:val="variable"/>
  </w:font>
  <w:font w:name="Cambria">
    <w:altName w:val="Cambria"/>
    <w:charset w:val="0"/>
    <w:family w:val="roman"/>
    <w:pitch w:val="variable"/>
  </w:font>
  <w:font w:name="Calibri">
    <w:altName w:val="Calibri"/>
    <w:charset w:val="0"/>
    <w:family w:val="swiss"/>
    <w:pitch w:val="variable"/>
  </w:font>
  <w:font w:name="Franklin Gothic Book">
    <w:altName w:val="Franklin Gothic Book"/>
    <w:charset w:val="0"/>
    <w:family w:val="swiss"/>
    <w:pitch w:val="variable"/>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space="preserve">
  <w:p>
    <w:pPr>
      <w:pStyle w:val="BodyText"/>
      <w:spacing w:line="14" w:lineRule="auto"/>
      <w:ind w:left="0" w:firstLine="0"/>
      <w:rPr>
        <w:sz w:val="20"/>
      </w:rPr>
    </w:pPr>
    <w:r>
      <w:rPr/>
      <w:pict>
        <v:shapetype id="_x0000_t202" o:spt="202" coordsize="21600,21600" path="m,l,21600r21600,l21600,xe">
          <v:stroke joinstyle="miter"/>
          <v:path gradientshapeok="t" o:connecttype="rect"/>
        </v:shapetype>
        <v:shape style="position:absolute;margin-left:78.551361pt;margin-top:730.164307pt;width:51.4pt;height:13.05pt;mso-position-horizontal-relative:page;mso-position-vertical-relative:page;z-index:-251812864" type="#_x0000_t202" filled="false" stroked="false">
          <v:textbox inset="0,0,0,0">
            <w:txbxContent>
              <w:p>
                <w:pPr>
                  <w:spacing w:line="245" w:lineRule="exact" w:before="0"/>
                  <w:ind w:left="20" w:right="0" w:firstLine="0"/>
                  <w:jc w:val="left"/>
                  <w:rPr>
                    <w:rFonts w:ascii="Calibri"/>
                    <w:sz w:val="22"/>
                  </w:rPr>
                </w:pPr>
                <w:r>
                  <w:rPr>
                    <w:rFonts w:ascii="Calibri"/>
                    <w:sz w:val="22"/>
                  </w:rPr>
                  <w:t>Page </w:t>
                </w:r>
                <w:r>
                  <w:rPr/>
                  <w:fldChar w:fldCharType="begin"/>
                </w:r>
                <w:r>
                  <w:rPr>
                    <w:rFonts w:ascii="Calibri"/>
                    <w:sz w:val="22"/>
                  </w:rPr>
                  <w:instrText> PAGE </w:instrText>
                </w:r>
                <w:r>
                  <w:rPr/>
                  <w:fldChar w:fldCharType="separate"/>
                </w:r>
                <w:r>
                  <w:rPr/>
                  <w:t>1</w:t>
                </w:r>
                <w:r>
                  <w:rPr/>
                  <w:fldChar w:fldCharType="end"/>
                </w:r>
                <w:r>
                  <w:rPr>
                    <w:rFonts w:ascii="Calibri"/>
                    <w:sz w:val="22"/>
                  </w:rPr>
                  <w:t> of 5</w:t>
                </w:r>
              </w:p>
            </w:txbxContent>
          </v:textbox>
          <w10:wrap type="none"/>
        </v:shape>
      </w:pic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multiLevelType w:val="hybridMultilevel"/>
    <w:lvl w:ilvl="0">
      <w:start w:val="1"/>
      <w:numFmt w:val="upperRoman"/>
      <w:lvlText w:val="%1."/>
      <w:lvlJc w:val="left"/>
      <w:pPr>
        <w:ind w:left="860" w:hanging="360"/>
        <w:jc w:val="right"/>
      </w:pPr>
      <w:rPr>
        <w:rFonts w:hint="default" w:ascii="Franklin Gothic Book" w:hAnsi="Franklin Gothic Book" w:eastAsia="Franklin Gothic Book" w:cs="Franklin Gothic Book"/>
        <w:spacing w:val="-2"/>
        <w:w w:val="100"/>
        <w:sz w:val="24"/>
        <w:szCs w:val="24"/>
        <w:lang w:val="en-us" w:eastAsia="en-us" w:bidi="en-us"/>
      </w:rPr>
    </w:lvl>
    <w:lvl w:ilvl="1">
      <w:start w:val="1"/>
      <w:numFmt w:val="upperLetter"/>
      <w:lvlText w:val="%2."/>
      <w:lvlJc w:val="left"/>
      <w:pPr>
        <w:ind w:left="1220" w:hanging="360"/>
        <w:jc w:val="left"/>
      </w:pPr>
      <w:rPr>
        <w:rFonts w:hint="default" w:ascii="Franklin Gothic Book" w:hAnsi="Franklin Gothic Book" w:eastAsia="Franklin Gothic Book" w:cs="Franklin Gothic Book"/>
        <w:spacing w:val="-10"/>
        <w:w w:val="100"/>
        <w:sz w:val="24"/>
        <w:szCs w:val="24"/>
        <w:lang w:val="en-us" w:eastAsia="en-us" w:bidi="en-us"/>
      </w:rPr>
    </w:lvl>
    <w:lvl w:ilvl="2">
      <w:start w:val="1"/>
      <w:numFmt w:val="decimal"/>
      <w:lvlText w:val="%3."/>
      <w:lvlJc w:val="left"/>
      <w:pPr>
        <w:ind w:left="1580" w:hanging="360"/>
        <w:jc w:val="left"/>
      </w:pPr>
      <w:rPr>
        <w:rFonts w:hint="default" w:ascii="Franklin Gothic Book" w:hAnsi="Franklin Gothic Book" w:eastAsia="Franklin Gothic Book" w:cs="Franklin Gothic Book"/>
        <w:spacing w:val="-22"/>
        <w:w w:val="100"/>
        <w:sz w:val="24"/>
        <w:szCs w:val="24"/>
        <w:lang w:val="en-us" w:eastAsia="en-us" w:bidi="en-us"/>
      </w:rPr>
    </w:lvl>
    <w:lvl w:ilvl="3">
      <w:start w:val="1"/>
      <w:numFmt w:val="lowerRoman"/>
      <w:lvlText w:val="%4."/>
      <w:lvlJc w:val="left"/>
      <w:pPr>
        <w:ind w:left="1940" w:hanging="236"/>
        <w:jc w:val="right"/>
      </w:pPr>
      <w:rPr>
        <w:rFonts w:hint="default" w:ascii="Franklin Gothic Book" w:hAnsi="Franklin Gothic Book" w:eastAsia="Franklin Gothic Book" w:cs="Franklin Gothic Book"/>
        <w:spacing w:val="-3"/>
        <w:w w:val="100"/>
        <w:sz w:val="24"/>
        <w:szCs w:val="24"/>
        <w:lang w:val="en-us" w:eastAsia="en-us" w:bidi="en-us"/>
      </w:rPr>
    </w:lvl>
    <w:lvl w:ilvl="4">
      <w:start w:val="0"/>
      <w:numFmt w:val="bullet"/>
      <w:lvlText w:val="•"/>
      <w:lvlJc w:val="left"/>
      <w:pPr>
        <w:ind w:left="2560" w:hanging="236"/>
      </w:pPr>
      <w:rPr>
        <w:rFonts w:hint="default"/>
        <w:lang w:val="en-us" w:eastAsia="en-us" w:bidi="en-us"/>
      </w:rPr>
    </w:lvl>
    <w:lvl w:ilvl="5">
      <w:start w:val="0"/>
      <w:numFmt w:val="bullet"/>
      <w:lvlText w:val="•"/>
      <w:lvlJc w:val="left"/>
      <w:pPr>
        <w:ind w:left="3740" w:hanging="236"/>
      </w:pPr>
      <w:rPr>
        <w:rFonts w:hint="default"/>
        <w:lang w:val="en-us" w:eastAsia="en-us" w:bidi="en-us"/>
      </w:rPr>
    </w:lvl>
    <w:lvl w:ilvl="6">
      <w:start w:val="0"/>
      <w:numFmt w:val="bullet"/>
      <w:lvlText w:val="•"/>
      <w:lvlJc w:val="left"/>
      <w:pPr>
        <w:ind w:left="4920" w:hanging="236"/>
      </w:pPr>
      <w:rPr>
        <w:rFonts w:hint="default"/>
        <w:lang w:val="en-us" w:eastAsia="en-us" w:bidi="en-us"/>
      </w:rPr>
    </w:lvl>
    <w:lvl w:ilvl="7">
      <w:start w:val="0"/>
      <w:numFmt w:val="bullet"/>
      <w:lvlText w:val="•"/>
      <w:lvlJc w:val="left"/>
      <w:pPr>
        <w:ind w:left="6100" w:hanging="236"/>
      </w:pPr>
      <w:rPr>
        <w:rFonts w:hint="default"/>
        <w:lang w:val="en-us" w:eastAsia="en-us" w:bidi="en-us"/>
      </w:rPr>
    </w:lvl>
    <w:lvl w:ilvl="8">
      <w:start w:val="0"/>
      <w:numFmt w:val="bullet"/>
      <w:lvlText w:val="•"/>
      <w:lvlJc w:val="left"/>
      <w:pPr>
        <w:ind w:left="7280" w:hanging="236"/>
      </w:pPr>
      <w:rPr>
        <w:rFonts w:hint="default"/>
        <w:lang w:val="en-us" w:eastAsia="en-us" w:bidi="en-us"/>
      </w:r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defaultTabStop w:val="720"/>
  <w:drawingGridHorizontalSpacing w:val="110"/>
  <w:displayHorizontalDrawingGridEvery w:val="2"/>
  <w:characterSpacingControl w:val="doNotCompress"/>
  <w:compat>
    <w:ulTrailSpace/>
    <w:shapeLayoutLikeWW8/>
    <w:useFELayout/>
  </w:compat>
</w:settings>
</file>

<file path=word/styles.xml><?xml version="1.0" encoding="utf-8"?>
<w:styles xmlns:r="http://schemas.openxmlformats.org/officeDocument/2006/relationships" xmlns:w="http://schemas.openxmlformats.org/wordprocessingml/2006/main">
  <w:docDefaults>
    <w:rPrDefault>
      <w:rPr>
        <w:rFonts w:cstheme="minorBidi" w:hAnsiTheme="minorHAnsi" w:eastAsiaTheme="minorHAnsi" w:asciiTheme="minorHAnsi"/>
        <w:sz w:val="22"/>
        <w:szCs w:val="22"/>
        <w:lang w:val="en-US" w:bidi="ar-SA" w:eastAsia="en-US"/>
      </w:rPr>
    </w:rPrDefault>
    <w:pPrDefault>
      <w:pPr>
        <w:widowControl w:val="0"/>
        <w:autoSpaceDE w:val="0"/>
        <w:autoSpaceDN w:val="0"/>
        <w:spacing w:lineRule="auto" w:line="240" w:before="0" w:after="0"/>
        <w:ind w:left="0" w:right="0"/>
        <w:jc w:val="left"/>
      </w:pPr>
    </w:pPrDefault>
  </w:docDefaults>
  <w:style w:styleId="DefaultParagraphFont" w:default="1" w:type="character">
    <w:name w:val="Default Paragraph Font"/>
    <w:uiPriority w:val="1"/>
    <w:semiHidden/>
    <w:unhideWhenUsed/>
  </w:style>
  <w:style w:styleId="TableNormal" w:default="1" w:type="table">
    <w:name w:val="Table Normal"/>
    <w:uiPriority w:val="2"/>
    <w:semiHidden/>
    <w:unhideWhenUsed/>
    <w:qFormat/>
    <w:tblPr>
      <w:tblInd w:w="0" w:type="dxa"/>
      <w:tblCellMar>
        <w:top w:w="0" w:type="dxa"/>
        <w:left w:w="0" w:type="dxa"/>
        <w:bottom w:w="0" w:type="dxa"/>
        <w:right w:w="0" w:type="dxa"/>
      </w:tblCellMar>
    </w:tblPr>
  </w:style>
  <w:style w:styleId="NoList" w:default="1" w:type="numbering">
    <w:name w:val="No List"/>
    <w:uiPriority w:val="99"/>
    <w:semiHidden/>
    <w:unhideWhenUsed/>
  </w:style>
  <w:style w:default="1" w:styleId="Normal" w:type="paragraph">
    <w:name w:val="Normal"/>
    <w:uiPriority w:val="1"/>
    <w:qFormat/>
    <w:pPr/>
    <w:rPr>
      <w:rFonts w:ascii="Franklin Gothic Book" w:hAnsi="Franklin Gothic Book" w:eastAsia="Franklin Gothic Book" w:cs="Franklin Gothic Book"/>
      <w:lang w:val="en-us" w:eastAsia="en-us" w:bidi="en-us"/>
    </w:rPr>
  </w:style>
  <w:style w:styleId="BodyText" w:type="paragraph">
    <w:name w:val="Body Text"/>
    <w:basedOn w:val="Normal"/>
    <w:uiPriority w:val="1"/>
    <w:qFormat/>
    <w:pPr>
      <w:ind w:left="1220" w:hanging="360"/>
    </w:pPr>
    <w:rPr>
      <w:rFonts w:ascii="Franklin Gothic Book" w:hAnsi="Franklin Gothic Book" w:eastAsia="Franklin Gothic Book" w:cs="Franklin Gothic Book"/>
      <w:sz w:val="24"/>
      <w:szCs w:val="24"/>
      <w:lang w:val="en-us" w:eastAsia="en-us" w:bidi="en-us"/>
    </w:rPr>
  </w:style>
  <w:style w:styleId="ListParagraph" w:type="paragraph">
    <w:name w:val="List Paragraph"/>
    <w:basedOn w:val="Normal"/>
    <w:uiPriority w:val="1"/>
    <w:qFormat/>
    <w:pPr>
      <w:ind w:left="1220" w:hanging="360"/>
    </w:pPr>
    <w:rPr>
      <w:rFonts w:ascii="Franklin Gothic Book" w:hAnsi="Franklin Gothic Book" w:eastAsia="Franklin Gothic Book" w:cs="Franklin Gothic Book"/>
      <w:lang w:val="en-us" w:eastAsia="en-us" w:bidi="en-us"/>
    </w:rPr>
  </w:style>
  <w:style w:styleId="TableParagraph" w:type="paragraph">
    <w:name w:val="Table Paragraph"/>
    <w:basedOn w:val="Normal"/>
    <w:uiPriority w:val="1"/>
    <w:qFormat/>
    <w:pPr/>
    <w:rPr>
      <w:lang w:val="en-us" w:eastAsia="en-us" w:bidi="en-us"/>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theme" Target="theme/theme1.xml"/><Relationship Id="rId4" Type="http://schemas.openxmlformats.org/officeDocument/2006/relationships/settings" Target="settings.xml"/><Relationship Id="rId5" Type="http://schemas.openxmlformats.org/officeDocument/2006/relationships/footer" Target="footer1.xml"/><Relationship Id="rId6" Type="http://schemas.openxmlformats.org/officeDocument/2006/relationships/image" Target="media/image1.png"/><Relationship Id="rId7" Type="http://schemas.openxmlformats.org/officeDocument/2006/relationships/hyperlink" Target="http://www.molinahealthcare.com/" TargetMode="External"/><Relationship Id="rId8" Type="http://schemas.openxmlformats.org/officeDocument/2006/relationships/hyperlink" Target="https://eportal.molinahealthcare.com/eportal/providers/login.aspx" TargetMode="External"/><Relationship Id="rId9" Type="http://schemas.openxmlformats.org/officeDocument/2006/relationships/image" Target="media/image2.png"/><Relationship Id="rId10" Type="http://schemas.openxmlformats.org/officeDocument/2006/relationships/hyperlink" Target="http://www.molinahealthcare.com/medicaid/providers/tx/manual/Pages/home.aspx" TargetMode="External"/><Relationship Id="rId11" Type="http://schemas.openxmlformats.org/officeDocument/2006/relationships/hyperlink" Target="http://www.tmhp.com/HTMLmanuals/TMPPM/2011/Frameset.html" TargetMode="External"/><Relationship Id="rId1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Application>Microsoft Office Word</Application>
  <DocSecurity>0</DocSecurity>
  <ScaleCrop>false</ScaleCrop>
  <LinksUpToDate>false</LinksUpToDate>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June Billingsley</dc:creator>
  <dcterms:created xsi:type="dcterms:W3CDTF">2019-10-30T16:12:53Z</dcterms:created>
  <dcterms:modified xsi:type="dcterms:W3CDTF">2019-10-30T16:12:53Z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2018-03-06T00:00:00Z</vt:filetime>
  </property>
  <property fmtid="{D5CDD505-2E9C-101B-9397-08002B2CF9AE}" pid="3" name="Creator">
    <vt:lpwstr>Acrobat PDFMaker 11 for Word</vt:lpwstr>
  </property>
  <property fmtid="{D5CDD505-2E9C-101B-9397-08002B2CF9AE}" pid="4" name="LastSaved">
    <vt:filetime>2019-10-30T00:00:00Z</vt:filetime>
  </property>
</Properties>
</file>