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434" w:lineRule="exact" w:before="80"/>
        <w:ind w:left="2039" w:right="2020" w:firstLine="0"/>
        <w:jc w:val="center"/>
        <w:rPr>
          <w:b/>
          <w:sz w:val="36"/>
        </w:rPr>
      </w:pPr>
      <w:r>
        <w:rPr>
          <w:b/>
          <w:sz w:val="36"/>
        </w:rPr>
        <w:t>Nexcaliber</w:t>
      </w:r>
    </w:p>
    <w:p>
      <w:pPr>
        <w:pStyle w:val="Heading1"/>
        <w:ind w:left="2040" w:right="2020"/>
        <w:jc w:val="center"/>
      </w:pPr>
      <w:r>
        <w:rPr/>
        <w:t>NETWORK SERVICES AGREEMENT</w:t>
      </w:r>
      <w:bookmarkStart w:name="GENERAL INFORMATION" w:id="1"/>
      <w:bookmarkEnd w:id="1"/>
      <w:r>
        <w:rPr/>
      </w:r>
      <w:r>
        <w:rPr/>
        <w:t> GENERAL INFORMATION</w:t>
      </w:r>
    </w:p>
    <w:p>
      <w:pPr>
        <w:spacing w:before="0"/>
        <w:ind w:left="2039" w:right="2020" w:firstLine="0"/>
        <w:jc w:val="center"/>
        <w:rPr>
          <w:rFonts w:ascii="Times New Roman"/>
          <w:b/>
          <w:sz w:val="32"/>
        </w:rPr>
      </w:pPr>
      <w:r>
        <w:rPr>
          <w:rFonts w:ascii="Times New Roman"/>
          <w:b/>
          <w:sz w:val="32"/>
        </w:rPr>
        <w:t>AS OF APRIL 2001</w:t>
      </w:r>
    </w:p>
    <w:p>
      <w:pPr>
        <w:pStyle w:val="BodyText"/>
        <w:spacing w:before="9"/>
        <w:rPr>
          <w:rFonts w:ascii="Times New Roman"/>
          <w:b/>
          <w:sz w:val="31"/>
        </w:rPr>
      </w:pPr>
    </w:p>
    <w:p>
      <w:pPr>
        <w:pStyle w:val="Heading1"/>
        <w:spacing w:before="1"/>
      </w:pPr>
      <w:r>
        <w:rPr/>
        <w:t>DATED INFORMATION</w:t>
      </w:r>
    </w:p>
    <w:p>
      <w:pPr>
        <w:tabs>
          <w:tab w:pos="4439" w:val="left" w:leader="none"/>
        </w:tabs>
        <w:spacing w:before="290"/>
        <w:ind w:left="120" w:right="0" w:firstLine="0"/>
        <w:jc w:val="left"/>
        <w:rPr>
          <w:sz w:val="24"/>
        </w:rPr>
      </w:pPr>
      <w:r>
        <w:rPr/>
        <w:drawing>
          <wp:anchor distT="0" distB="0" distL="0" distR="0" allowOverlap="1" layoutInCell="1" locked="0" behindDoc="1" simplePos="0" relativeHeight="251559936">
            <wp:simplePos x="0" y="0"/>
            <wp:positionH relativeFrom="page">
              <wp:posOffset>1229094</wp:posOffset>
            </wp:positionH>
            <wp:positionV relativeFrom="paragraph">
              <wp:posOffset>191460</wp:posOffset>
            </wp:positionV>
            <wp:extent cx="5270795" cy="5072633"/>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5270795" cy="5072633"/>
                    </a:xfrm>
                    <a:prstGeom prst="rect">
                      <a:avLst/>
                    </a:prstGeom>
                  </pic:spPr>
                </pic:pic>
              </a:graphicData>
            </a:graphic>
          </wp:anchor>
        </w:drawing>
      </w:r>
      <w:r>
        <w:rPr>
          <w:b/>
          <w:sz w:val="24"/>
        </w:rPr>
        <w:t>Name of Health</w:t>
      </w:r>
      <w:r>
        <w:rPr>
          <w:b/>
          <w:spacing w:val="-5"/>
          <w:sz w:val="24"/>
        </w:rPr>
        <w:t> </w:t>
      </w:r>
      <w:r>
        <w:rPr>
          <w:b/>
          <w:sz w:val="24"/>
        </w:rPr>
        <w:t>Care</w:t>
      </w:r>
      <w:r>
        <w:rPr>
          <w:b/>
          <w:spacing w:val="-2"/>
          <w:sz w:val="24"/>
        </w:rPr>
        <w:t> </w:t>
      </w:r>
      <w:r>
        <w:rPr>
          <w:b/>
          <w:sz w:val="24"/>
        </w:rPr>
        <w:t>Plan:</w:t>
        <w:tab/>
      </w:r>
      <w:r>
        <w:rPr>
          <w:sz w:val="24"/>
        </w:rPr>
        <w:t>Nexcaliber (formerly</w:t>
      </w:r>
      <w:r>
        <w:rPr>
          <w:spacing w:val="-4"/>
          <w:sz w:val="24"/>
        </w:rPr>
        <w:t> </w:t>
      </w:r>
      <w:r>
        <w:rPr>
          <w:sz w:val="24"/>
        </w:rPr>
        <w:t>Associated</w:t>
      </w:r>
    </w:p>
    <w:p>
      <w:pPr>
        <w:pStyle w:val="BodyText"/>
        <w:ind w:left="4440" w:right="219"/>
      </w:pPr>
      <w:r>
        <w:rPr/>
        <w:t>Administrators Group, Inc. -AAGI), who is a Third-Party Administrator for self- funded employer groups.</w:t>
      </w:r>
    </w:p>
    <w:p>
      <w:pPr>
        <w:tabs>
          <w:tab w:pos="4439" w:val="left" w:leader="none"/>
        </w:tabs>
        <w:spacing w:before="192"/>
        <w:ind w:left="120" w:right="0" w:firstLine="0"/>
        <w:jc w:val="left"/>
        <w:rPr>
          <w:sz w:val="24"/>
        </w:rPr>
      </w:pPr>
      <w:r>
        <w:rPr>
          <w:b/>
          <w:sz w:val="24"/>
        </w:rPr>
        <w:t>Type of Health</w:t>
      </w:r>
      <w:r>
        <w:rPr>
          <w:b/>
          <w:spacing w:val="-7"/>
          <w:sz w:val="24"/>
        </w:rPr>
        <w:t> </w:t>
      </w:r>
      <w:r>
        <w:rPr>
          <w:b/>
          <w:sz w:val="24"/>
        </w:rPr>
        <w:t>Care Plan:</w:t>
        <w:tab/>
      </w:r>
      <w:r>
        <w:rPr>
          <w:sz w:val="24"/>
        </w:rPr>
        <w:t>A direct contracting</w:t>
      </w:r>
      <w:r>
        <w:rPr>
          <w:spacing w:val="-7"/>
          <w:sz w:val="24"/>
        </w:rPr>
        <w:t> </w:t>
      </w:r>
      <w:r>
        <w:rPr>
          <w:sz w:val="24"/>
        </w:rPr>
        <w:t>arrangement</w:t>
      </w:r>
    </w:p>
    <w:p>
      <w:pPr>
        <w:pStyle w:val="BodyText"/>
        <w:spacing w:before="1"/>
        <w:ind w:left="4440" w:right="168"/>
      </w:pPr>
      <w:r>
        <w:rPr/>
        <w:t>between Nexcaliber and Physicians of East Texas, LLC (POET) in which both parties have agreed to work together to offer a PPO network of physicians to provide health care services, at predetermined rates.</w:t>
      </w:r>
    </w:p>
    <w:p>
      <w:pPr>
        <w:pStyle w:val="Heading2"/>
        <w:spacing w:line="289" w:lineRule="exact" w:before="194"/>
      </w:pPr>
      <w:r>
        <w:rPr/>
        <w:t>Approximate Number of Covered</w:t>
      </w:r>
    </w:p>
    <w:p>
      <w:pPr>
        <w:tabs>
          <w:tab w:pos="4439" w:val="left" w:leader="none"/>
        </w:tabs>
        <w:spacing w:line="289" w:lineRule="exact" w:before="0"/>
        <w:ind w:left="120" w:right="0" w:firstLine="0"/>
        <w:jc w:val="left"/>
        <w:rPr>
          <w:sz w:val="24"/>
        </w:rPr>
      </w:pPr>
      <w:r>
        <w:rPr>
          <w:b/>
          <w:sz w:val="24"/>
        </w:rPr>
        <w:t>Lives in the East</w:t>
      </w:r>
      <w:r>
        <w:rPr>
          <w:b/>
          <w:spacing w:val="-8"/>
          <w:sz w:val="24"/>
        </w:rPr>
        <w:t> </w:t>
      </w:r>
      <w:r>
        <w:rPr>
          <w:b/>
          <w:sz w:val="24"/>
        </w:rPr>
        <w:t>Texas</w:t>
      </w:r>
      <w:r>
        <w:rPr>
          <w:b/>
          <w:spacing w:val="-1"/>
          <w:sz w:val="24"/>
        </w:rPr>
        <w:t> </w:t>
      </w:r>
      <w:r>
        <w:rPr>
          <w:b/>
          <w:sz w:val="24"/>
        </w:rPr>
        <w:t>Area:</w:t>
        <w:tab/>
      </w:r>
      <w:r>
        <w:rPr>
          <w:sz w:val="24"/>
        </w:rPr>
        <w:t>1192, as of January</w:t>
      </w:r>
      <w:r>
        <w:rPr>
          <w:spacing w:val="-5"/>
          <w:sz w:val="24"/>
        </w:rPr>
        <w:t> </w:t>
      </w:r>
      <w:r>
        <w:rPr>
          <w:sz w:val="24"/>
        </w:rPr>
        <w:t>2015.</w:t>
      </w:r>
    </w:p>
    <w:p>
      <w:pPr>
        <w:pStyle w:val="BodyText"/>
        <w:rPr>
          <w:sz w:val="40"/>
        </w:rPr>
      </w:pPr>
    </w:p>
    <w:p>
      <w:pPr>
        <w:tabs>
          <w:tab w:pos="4439" w:val="left" w:leader="none"/>
        </w:tabs>
        <w:spacing w:before="0"/>
        <w:ind w:left="120" w:right="0" w:firstLine="0"/>
        <w:jc w:val="left"/>
        <w:rPr>
          <w:sz w:val="24"/>
        </w:rPr>
      </w:pPr>
      <w:r>
        <w:rPr>
          <w:b/>
          <w:sz w:val="24"/>
        </w:rPr>
        <w:t>Payor/TPA:</w:t>
        <w:tab/>
      </w:r>
      <w:r>
        <w:rPr>
          <w:sz w:val="24"/>
        </w:rPr>
        <w:t>Nexcaliber</w:t>
      </w:r>
    </w:p>
    <w:p>
      <w:pPr>
        <w:tabs>
          <w:tab w:pos="4439" w:val="left" w:leader="none"/>
        </w:tabs>
        <w:spacing w:before="193"/>
        <w:ind w:left="120" w:right="0" w:firstLine="0"/>
        <w:jc w:val="left"/>
        <w:rPr>
          <w:sz w:val="24"/>
        </w:rPr>
      </w:pPr>
      <w:r>
        <w:rPr>
          <w:b/>
          <w:sz w:val="24"/>
        </w:rPr>
        <w:t>Employer</w:t>
      </w:r>
      <w:r>
        <w:rPr>
          <w:b/>
          <w:spacing w:val="-4"/>
          <w:sz w:val="24"/>
        </w:rPr>
        <w:t> </w:t>
      </w:r>
      <w:r>
        <w:rPr>
          <w:b/>
          <w:sz w:val="24"/>
        </w:rPr>
        <w:t>Group(s):</w:t>
        <w:tab/>
      </w:r>
      <w:r>
        <w:rPr>
          <w:sz w:val="24"/>
        </w:rPr>
        <w:t>Brookshire Brothers,</w:t>
      </w:r>
      <w:r>
        <w:rPr>
          <w:spacing w:val="-2"/>
          <w:sz w:val="24"/>
        </w:rPr>
        <w:t> </w:t>
      </w:r>
      <w:r>
        <w:rPr>
          <w:sz w:val="24"/>
        </w:rPr>
        <w:t>Ltd.</w:t>
      </w:r>
    </w:p>
    <w:p>
      <w:pPr>
        <w:pStyle w:val="BodyText"/>
        <w:rPr>
          <w:sz w:val="40"/>
        </w:rPr>
      </w:pPr>
    </w:p>
    <w:p>
      <w:pPr>
        <w:pStyle w:val="BodyText"/>
        <w:tabs>
          <w:tab w:pos="4439" w:val="left" w:leader="none"/>
        </w:tabs>
        <w:ind w:left="4440" w:right="131" w:hanging="4320"/>
      </w:pPr>
      <w:r>
        <w:rPr>
          <w:b/>
        </w:rPr>
        <w:t>Reimbursement:</w:t>
        <w:tab/>
      </w:r>
      <w:r>
        <w:rPr/>
        <w:t>75</w:t>
      </w:r>
      <w:r>
        <w:rPr>
          <w:position w:val="8"/>
          <w:sz w:val="16"/>
        </w:rPr>
        <w:t>th </w:t>
      </w:r>
      <w:r>
        <w:rPr/>
        <w:t>percentile of 2001 MDR (Medical Data Research) will be utilized with the exception of immunizations and preventative care services, which, together with other services not listed in MDR, will be paid at 85% of physician’s billed charges. A sample fee schedule is attached for your review. If you need additional allowables, please contact the POET</w:t>
      </w:r>
      <w:r>
        <w:rPr>
          <w:spacing w:val="-3"/>
        </w:rPr>
        <w:t> </w:t>
      </w:r>
      <w:r>
        <w:rPr/>
        <w:t>office.</w:t>
      </w:r>
    </w:p>
    <w:p>
      <w:pPr>
        <w:pStyle w:val="BodyText"/>
      </w:pPr>
    </w:p>
    <w:p>
      <w:pPr>
        <w:tabs>
          <w:tab w:pos="4439" w:val="left" w:leader="none"/>
        </w:tabs>
        <w:spacing w:before="1"/>
        <w:ind w:left="120" w:right="0" w:firstLine="0"/>
        <w:jc w:val="left"/>
        <w:rPr>
          <w:b/>
          <w:sz w:val="24"/>
        </w:rPr>
      </w:pPr>
      <w:r>
        <w:rPr>
          <w:b/>
          <w:sz w:val="24"/>
        </w:rPr>
        <w:t>Clean Claim</w:t>
      </w:r>
      <w:r>
        <w:rPr>
          <w:b/>
          <w:spacing w:val="-8"/>
          <w:sz w:val="24"/>
        </w:rPr>
        <w:t> </w:t>
      </w:r>
      <w:r>
        <w:rPr>
          <w:b/>
          <w:sz w:val="24"/>
        </w:rPr>
        <w:t>Special</w:t>
      </w:r>
      <w:r>
        <w:rPr>
          <w:b/>
          <w:spacing w:val="-1"/>
          <w:sz w:val="24"/>
        </w:rPr>
        <w:t> </w:t>
      </w:r>
      <w:r>
        <w:rPr>
          <w:b/>
          <w:sz w:val="24"/>
        </w:rPr>
        <w:t>Provision:</w:t>
        <w:tab/>
      </w:r>
      <w:r>
        <w:rPr>
          <w:sz w:val="24"/>
        </w:rPr>
        <w:t>If your clean claim is not paid after</w:t>
      </w:r>
      <w:r>
        <w:rPr>
          <w:spacing w:val="-13"/>
          <w:sz w:val="24"/>
        </w:rPr>
        <w:t> </w:t>
      </w:r>
      <w:r>
        <w:rPr>
          <w:b/>
          <w:sz w:val="24"/>
        </w:rPr>
        <w:t>30</w:t>
      </w:r>
    </w:p>
    <w:p>
      <w:pPr>
        <w:pStyle w:val="BodyText"/>
        <w:ind w:left="4440" w:right="758"/>
      </w:pPr>
      <w:r>
        <w:rPr/>
        <w:t>days of receipt by payor, the reimbursement should be made at </w:t>
      </w:r>
      <w:r>
        <w:rPr>
          <w:b/>
        </w:rPr>
        <w:t>100% </w:t>
      </w:r>
      <w:r>
        <w:rPr/>
        <w:t>of physician’s usual and</w:t>
      </w:r>
    </w:p>
    <w:p>
      <w:pPr>
        <w:spacing w:after="0"/>
        <w:sectPr>
          <w:footerReference w:type="default" r:id="rId5"/>
          <w:type w:val="continuous"/>
          <w:pgSz w:w="12240" w:h="15840"/>
          <w:pgMar w:footer="723" w:top="1360" w:bottom="920" w:left="1680" w:right="1700"/>
          <w:pgNumType w:start="1"/>
        </w:sectPr>
      </w:pPr>
    </w:p>
    <w:p>
      <w:pPr>
        <w:pStyle w:val="BodyText"/>
        <w:spacing w:before="77"/>
        <w:ind w:left="4440" w:right="219"/>
      </w:pPr>
      <w:r>
        <w:rPr/>
        <w:t>customary charges. No discount will be applicable after 30 days. Also, if the payor fails to pay a clean claim within 45 days of submission, the physician may terminate his participation.</w:t>
      </w:r>
    </w:p>
    <w:p>
      <w:pPr>
        <w:pStyle w:val="BodyText"/>
        <w:spacing w:before="12"/>
        <w:rPr>
          <w:sz w:val="23"/>
        </w:rPr>
      </w:pPr>
    </w:p>
    <w:p>
      <w:pPr>
        <w:pStyle w:val="Heading2"/>
        <w:tabs>
          <w:tab w:pos="4439" w:val="left" w:leader="none"/>
        </w:tabs>
      </w:pPr>
      <w:r>
        <w:rPr/>
        <w:t>Program</w:t>
      </w:r>
      <w:r>
        <w:rPr>
          <w:spacing w:val="-4"/>
        </w:rPr>
        <w:t> </w:t>
      </w:r>
      <w:r>
        <w:rPr/>
        <w:t>Requirements:</w:t>
        <w:tab/>
      </w:r>
      <w:r>
        <w:rPr>
          <w:b w:val="0"/>
        </w:rPr>
        <w:t>This is a </w:t>
      </w:r>
      <w:r>
        <w:rPr/>
        <w:t>Preferred</w:t>
      </w:r>
      <w:r>
        <w:rPr>
          <w:spacing w:val="-4"/>
        </w:rPr>
        <w:t> </w:t>
      </w:r>
      <w:r>
        <w:rPr/>
        <w:t>Provider</w:t>
      </w:r>
    </w:p>
    <w:p>
      <w:pPr>
        <w:pStyle w:val="BodyText"/>
        <w:ind w:left="4439" w:right="122"/>
      </w:pPr>
      <w:r>
        <w:rPr/>
        <w:drawing>
          <wp:anchor distT="0" distB="0" distL="0" distR="0" allowOverlap="1" layoutInCell="1" locked="0" behindDoc="1" simplePos="0" relativeHeight="251560960">
            <wp:simplePos x="0" y="0"/>
            <wp:positionH relativeFrom="page">
              <wp:posOffset>1229094</wp:posOffset>
            </wp:positionH>
            <wp:positionV relativeFrom="paragraph">
              <wp:posOffset>290774</wp:posOffset>
            </wp:positionV>
            <wp:extent cx="5270795" cy="5072633"/>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6" cstate="print"/>
                    <a:stretch>
                      <a:fillRect/>
                    </a:stretch>
                  </pic:blipFill>
                  <pic:spPr>
                    <a:xfrm>
                      <a:off x="0" y="0"/>
                      <a:ext cx="5270795" cy="5072633"/>
                    </a:xfrm>
                    <a:prstGeom prst="rect">
                      <a:avLst/>
                    </a:prstGeom>
                  </pic:spPr>
                </pic:pic>
              </a:graphicData>
            </a:graphic>
          </wp:anchor>
        </w:drawing>
      </w:r>
      <w:r>
        <w:rPr>
          <w:b/>
        </w:rPr>
        <w:t>Organization Network (PPO). Referrals </w:t>
      </w:r>
      <w:r>
        <w:rPr/>
        <w:t>are </w:t>
      </w:r>
      <w:r>
        <w:rPr>
          <w:b/>
        </w:rPr>
        <w:t>not required </w:t>
      </w:r>
      <w:r>
        <w:rPr/>
        <w:t>from Primary Care Physicians to Specialty Physicians.  However, any </w:t>
      </w:r>
      <w:r>
        <w:rPr>
          <w:b/>
        </w:rPr>
        <w:t>local </w:t>
      </w:r>
      <w:r>
        <w:rPr/>
        <w:t>referrals made to other providers should be made within the </w:t>
      </w:r>
      <w:r>
        <w:rPr>
          <w:b/>
        </w:rPr>
        <w:t>Physicians of East Texas, LLC </w:t>
      </w:r>
      <w:r>
        <w:rPr/>
        <w:t>Participating Network For referrals to physicians outside the POET network, please utilize the Nexcaliber Proprietary Network. Please contact Nexcaliber at 1-800-741-0185 for names of participating physicians outside our POET network of</w:t>
      </w:r>
      <w:r>
        <w:rPr>
          <w:spacing w:val="-3"/>
        </w:rPr>
        <w:t> </w:t>
      </w:r>
      <w:r>
        <w:rPr/>
        <w:t>physicians.</w:t>
      </w:r>
    </w:p>
    <w:p>
      <w:pPr>
        <w:pStyle w:val="BodyText"/>
        <w:spacing w:before="1"/>
      </w:pPr>
    </w:p>
    <w:p>
      <w:pPr>
        <w:pStyle w:val="BodyText"/>
        <w:tabs>
          <w:tab w:pos="5563" w:val="left" w:leader="none"/>
        </w:tabs>
        <w:ind w:left="4439" w:right="112"/>
      </w:pPr>
      <w:r>
        <w:rPr/>
        <w:t>Identification cards will have AAGI or Nexcaliber clearly located on the I.D. card.  Medical Control or CCN will also be on the I.D. card. This is required since these are the tertiary networks for members to access in-network benefits when it is necessary to leave our local area for services. Please disregard any Medical Control of CCN information for administration of this plan for your practice.</w:t>
        <w:tab/>
      </w:r>
      <w:r>
        <w:rPr>
          <w:b/>
        </w:rPr>
        <w:t>Be sure to photocopy both sides of the card </w:t>
      </w:r>
      <w:r>
        <w:rPr/>
        <w:t>for the patient’s file. Remember that possession of a card does not guarantee that coverage is in force at the time of services</w:t>
      </w:r>
      <w:r>
        <w:rPr>
          <w:b/>
        </w:rPr>
        <w:t>. Always verify eligibility at the time of service </w:t>
      </w:r>
      <w:r>
        <w:rPr/>
        <w:t>with the appropriate carrier or claims administrator. Telephone numbers to verify eligibility and to pre- certify services can be found on the Member’s I.D.</w:t>
      </w:r>
      <w:r>
        <w:rPr>
          <w:spacing w:val="-3"/>
        </w:rPr>
        <w:t> </w:t>
      </w:r>
      <w:r>
        <w:rPr/>
        <w:t>card.</w:t>
      </w:r>
    </w:p>
    <w:p>
      <w:pPr>
        <w:spacing w:after="0"/>
        <w:sectPr>
          <w:pgSz w:w="12240" w:h="15840"/>
          <w:pgMar w:header="0" w:footer="723" w:top="1360" w:bottom="920" w:left="1680" w:right="1700"/>
        </w:sectPr>
      </w:pPr>
    </w:p>
    <w:p>
      <w:pPr>
        <w:pStyle w:val="BodyText"/>
        <w:spacing w:before="77"/>
        <w:ind w:left="4440" w:right="95"/>
      </w:pPr>
      <w:r>
        <w:rPr/>
        <w:t>Patient is responsible for co-insurance of 20%, after deductible, on office visits.</w:t>
      </w:r>
    </w:p>
    <w:p>
      <w:pPr>
        <w:pStyle w:val="BodyText"/>
        <w:ind w:left="4440" w:right="441"/>
      </w:pPr>
      <w:r>
        <w:rPr/>
        <w:t>Office services will be considered at 80% after $500 annual deductible for in-network providers.</w:t>
      </w:r>
    </w:p>
    <w:p>
      <w:pPr>
        <w:pStyle w:val="BodyText"/>
        <w:spacing w:before="12"/>
        <w:rPr>
          <w:sz w:val="23"/>
        </w:rPr>
      </w:pPr>
    </w:p>
    <w:p>
      <w:pPr>
        <w:pStyle w:val="BodyText"/>
        <w:ind w:left="4440" w:right="171"/>
      </w:pPr>
      <w:r>
        <w:rPr/>
        <w:drawing>
          <wp:anchor distT="0" distB="0" distL="0" distR="0" allowOverlap="1" layoutInCell="1" locked="0" behindDoc="1" simplePos="0" relativeHeight="251561984">
            <wp:simplePos x="0" y="0"/>
            <wp:positionH relativeFrom="page">
              <wp:posOffset>1229094</wp:posOffset>
            </wp:positionH>
            <wp:positionV relativeFrom="paragraph">
              <wp:posOffset>475178</wp:posOffset>
            </wp:positionV>
            <wp:extent cx="5270795" cy="5072633"/>
            <wp:effectExtent l="0" t="0" r="0" b="0"/>
            <wp:wrapNone/>
            <wp:docPr id="5" name="image2.png"/>
            <wp:cNvGraphicFramePr>
              <a:graphicFrameLocks noChangeAspect="1"/>
            </wp:cNvGraphicFramePr>
            <a:graphic>
              <a:graphicData uri="http://schemas.openxmlformats.org/drawingml/2006/picture">
                <pic:pic>
                  <pic:nvPicPr>
                    <pic:cNvPr id="6" name="image2.png"/>
                    <pic:cNvPicPr/>
                  </pic:nvPicPr>
                  <pic:blipFill>
                    <a:blip r:embed="rId7" cstate="print"/>
                    <a:stretch>
                      <a:fillRect/>
                    </a:stretch>
                  </pic:blipFill>
                  <pic:spPr>
                    <a:xfrm>
                      <a:off x="0" y="0"/>
                      <a:ext cx="5270795" cy="5072633"/>
                    </a:xfrm>
                    <a:prstGeom prst="rect">
                      <a:avLst/>
                    </a:prstGeom>
                  </pic:spPr>
                </pic:pic>
              </a:graphicData>
            </a:graphic>
          </wp:anchor>
        </w:drawing>
      </w:r>
      <w:r>
        <w:rPr/>
        <w:t>Diagnostic services are covered at 80% after the deductible for in-network providers and 60% after deductible for non-network providers. If you do not provide these services in your office, please utilize </w:t>
      </w:r>
      <w:r>
        <w:rPr>
          <w:b/>
        </w:rPr>
        <w:t>participating </w:t>
      </w:r>
      <w:r>
        <w:rPr/>
        <w:t>providers for all radiology and laboratory services.</w:t>
      </w:r>
    </w:p>
    <w:p>
      <w:pPr>
        <w:pStyle w:val="BodyText"/>
      </w:pPr>
    </w:p>
    <w:p>
      <w:pPr>
        <w:pStyle w:val="Heading2"/>
        <w:spacing w:before="1"/>
        <w:ind w:left="119"/>
      </w:pPr>
      <w:r>
        <w:rPr/>
        <w:t>DATED INFORMATION</w:t>
      </w:r>
    </w:p>
    <w:p>
      <w:pPr>
        <w:tabs>
          <w:tab w:pos="4439" w:val="left" w:leader="none"/>
        </w:tabs>
        <w:spacing w:line="289" w:lineRule="exact" w:before="0"/>
        <w:ind w:left="119" w:right="0" w:firstLine="0"/>
        <w:jc w:val="left"/>
        <w:rPr>
          <w:sz w:val="24"/>
        </w:rPr>
      </w:pPr>
      <w:r>
        <w:rPr>
          <w:b/>
          <w:sz w:val="24"/>
        </w:rPr>
        <w:t>Local</w:t>
      </w:r>
      <w:r>
        <w:rPr>
          <w:b/>
          <w:spacing w:val="-5"/>
          <w:sz w:val="24"/>
        </w:rPr>
        <w:t> </w:t>
      </w:r>
      <w:r>
        <w:rPr>
          <w:b/>
          <w:sz w:val="24"/>
        </w:rPr>
        <w:t>Contracted</w:t>
      </w:r>
      <w:r>
        <w:rPr>
          <w:b/>
          <w:spacing w:val="-3"/>
          <w:sz w:val="24"/>
        </w:rPr>
        <w:t> </w:t>
      </w:r>
      <w:r>
        <w:rPr>
          <w:b/>
          <w:sz w:val="24"/>
        </w:rPr>
        <w:t>Hospitals:</w:t>
        <w:tab/>
      </w:r>
      <w:r>
        <w:rPr>
          <w:sz w:val="24"/>
        </w:rPr>
        <w:t>Woodland Heights Medical</w:t>
      </w:r>
      <w:r>
        <w:rPr>
          <w:spacing w:val="-3"/>
          <w:sz w:val="24"/>
        </w:rPr>
        <w:t> </w:t>
      </w:r>
      <w:r>
        <w:rPr>
          <w:sz w:val="24"/>
        </w:rPr>
        <w:t>Center</w:t>
      </w:r>
    </w:p>
    <w:p>
      <w:pPr>
        <w:pStyle w:val="BodyText"/>
        <w:spacing w:line="289" w:lineRule="exact"/>
        <w:ind w:left="4439"/>
      </w:pPr>
      <w:r>
        <w:rPr/>
        <w:t>Memorial Health Systems</w:t>
      </w:r>
    </w:p>
    <w:p>
      <w:pPr>
        <w:pStyle w:val="BodyText"/>
        <w:spacing w:before="2"/>
      </w:pPr>
    </w:p>
    <w:p>
      <w:pPr>
        <w:tabs>
          <w:tab w:pos="4439" w:val="left" w:leader="none"/>
        </w:tabs>
        <w:spacing w:line="289" w:lineRule="exact" w:before="0"/>
        <w:ind w:left="120" w:right="0" w:firstLine="0"/>
        <w:jc w:val="left"/>
        <w:rPr>
          <w:b/>
          <w:sz w:val="24"/>
        </w:rPr>
      </w:pPr>
      <w:r>
        <w:rPr>
          <w:b/>
          <w:sz w:val="24"/>
        </w:rPr>
        <w:t>Local</w:t>
      </w:r>
      <w:r>
        <w:rPr>
          <w:b/>
          <w:spacing w:val="-6"/>
          <w:sz w:val="24"/>
        </w:rPr>
        <w:t> </w:t>
      </w:r>
      <w:r>
        <w:rPr>
          <w:b/>
          <w:sz w:val="24"/>
        </w:rPr>
        <w:t>Contracted</w:t>
      </w:r>
      <w:r>
        <w:rPr>
          <w:b/>
          <w:spacing w:val="-4"/>
          <w:sz w:val="24"/>
        </w:rPr>
        <w:t> </w:t>
      </w:r>
      <w:r>
        <w:rPr>
          <w:b/>
          <w:sz w:val="24"/>
        </w:rPr>
        <w:t>Laboratories:</w:t>
        <w:tab/>
      </w:r>
      <w:r>
        <w:rPr>
          <w:sz w:val="24"/>
        </w:rPr>
        <w:t>Lab testing may be done</w:t>
      </w:r>
      <w:r>
        <w:rPr>
          <w:spacing w:val="-9"/>
          <w:sz w:val="24"/>
        </w:rPr>
        <w:t> </w:t>
      </w:r>
      <w:r>
        <w:rPr>
          <w:b/>
          <w:sz w:val="24"/>
        </w:rPr>
        <w:t>in-office,</w:t>
      </w:r>
    </w:p>
    <w:p>
      <w:pPr>
        <w:pStyle w:val="Heading2"/>
        <w:spacing w:line="289" w:lineRule="exact"/>
        <w:ind w:left="4439"/>
        <w:rPr>
          <w:b w:val="0"/>
        </w:rPr>
      </w:pPr>
      <w:r>
        <w:rPr/>
        <w:t>LabCorp or Quest</w:t>
      </w:r>
      <w:r>
        <w:rPr>
          <w:b w:val="0"/>
        </w:rPr>
        <w:t>.</w:t>
      </w:r>
    </w:p>
    <w:p>
      <w:pPr>
        <w:pStyle w:val="BodyText"/>
        <w:spacing w:before="1"/>
      </w:pPr>
    </w:p>
    <w:p>
      <w:pPr>
        <w:tabs>
          <w:tab w:pos="4439" w:val="left" w:leader="none"/>
        </w:tabs>
        <w:spacing w:line="289" w:lineRule="exact" w:before="0"/>
        <w:ind w:left="120" w:right="0" w:firstLine="0"/>
        <w:jc w:val="left"/>
        <w:rPr>
          <w:sz w:val="24"/>
        </w:rPr>
      </w:pPr>
      <w:r>
        <w:rPr>
          <w:b/>
          <w:sz w:val="24"/>
        </w:rPr>
        <w:t>Claims</w:t>
      </w:r>
      <w:r>
        <w:rPr>
          <w:b/>
          <w:spacing w:val="-4"/>
          <w:sz w:val="24"/>
        </w:rPr>
        <w:t> </w:t>
      </w:r>
      <w:r>
        <w:rPr>
          <w:b/>
          <w:sz w:val="24"/>
        </w:rPr>
        <w:t>Filing</w:t>
      </w:r>
      <w:r>
        <w:rPr>
          <w:b/>
          <w:spacing w:val="-3"/>
          <w:sz w:val="24"/>
        </w:rPr>
        <w:t> </w:t>
      </w:r>
      <w:r>
        <w:rPr>
          <w:b/>
          <w:sz w:val="24"/>
        </w:rPr>
        <w:t>Address:</w:t>
        <w:tab/>
      </w:r>
      <w:r>
        <w:rPr>
          <w:sz w:val="24"/>
        </w:rPr>
        <w:t>Nexcaliber</w:t>
      </w:r>
    </w:p>
    <w:p>
      <w:pPr>
        <w:pStyle w:val="BodyText"/>
        <w:spacing w:line="289" w:lineRule="exact"/>
        <w:ind w:left="4440"/>
      </w:pPr>
      <w:bookmarkStart w:name="P. O. Box 802422" w:id="2"/>
      <w:bookmarkEnd w:id="2"/>
      <w:r>
        <w:rPr/>
      </w:r>
      <w:r>
        <w:rPr/>
        <w:t>P. O. Box 802422</w:t>
      </w:r>
    </w:p>
    <w:p>
      <w:pPr>
        <w:pStyle w:val="BodyText"/>
        <w:spacing w:before="1"/>
        <w:ind w:left="4440"/>
      </w:pPr>
      <w:r>
        <w:rPr/>
        <w:t>Dallas, Texas</w:t>
      </w:r>
      <w:r>
        <w:rPr>
          <w:spacing w:val="71"/>
        </w:rPr>
        <w:t> </w:t>
      </w:r>
      <w:r>
        <w:rPr/>
        <w:t>75380</w:t>
      </w:r>
    </w:p>
    <w:p>
      <w:pPr>
        <w:pStyle w:val="BodyText"/>
        <w:spacing w:before="1"/>
      </w:pPr>
    </w:p>
    <w:p>
      <w:pPr>
        <w:pStyle w:val="BodyText"/>
        <w:ind w:left="4440" w:right="385"/>
      </w:pPr>
      <w:r>
        <w:rPr/>
        <w:t>On line verification and claim status is available at </w:t>
      </w:r>
      <w:hyperlink r:id="rId8">
        <w:r>
          <w:rPr>
            <w:color w:val="0000FF"/>
          </w:rPr>
          <w:t>www.nexcaliber.com</w:t>
        </w:r>
      </w:hyperlink>
      <w:r>
        <w:rPr/>
        <w:t>.</w:t>
      </w:r>
    </w:p>
    <w:p>
      <w:pPr>
        <w:pStyle w:val="BodyText"/>
        <w:spacing w:before="9"/>
        <w:rPr>
          <w:sz w:val="15"/>
        </w:rPr>
      </w:pPr>
    </w:p>
    <w:p>
      <w:pPr>
        <w:tabs>
          <w:tab w:pos="4439" w:val="left" w:leader="none"/>
        </w:tabs>
        <w:spacing w:before="100"/>
        <w:ind w:left="120" w:right="0" w:firstLine="0"/>
        <w:jc w:val="left"/>
        <w:rPr>
          <w:sz w:val="24"/>
        </w:rPr>
      </w:pPr>
      <w:r>
        <w:rPr>
          <w:b/>
          <w:sz w:val="24"/>
        </w:rPr>
        <w:t>Claims</w:t>
      </w:r>
      <w:r>
        <w:rPr>
          <w:b/>
          <w:spacing w:val="-4"/>
          <w:sz w:val="24"/>
        </w:rPr>
        <w:t> </w:t>
      </w:r>
      <w:r>
        <w:rPr>
          <w:b/>
          <w:sz w:val="24"/>
        </w:rPr>
        <w:t>Filing</w:t>
      </w:r>
      <w:r>
        <w:rPr>
          <w:b/>
          <w:spacing w:val="-3"/>
          <w:sz w:val="24"/>
        </w:rPr>
        <w:t> </w:t>
      </w:r>
      <w:r>
        <w:rPr>
          <w:b/>
          <w:sz w:val="24"/>
        </w:rPr>
        <w:t>Deadline:</w:t>
        <w:tab/>
      </w:r>
      <w:r>
        <w:rPr>
          <w:sz w:val="24"/>
        </w:rPr>
        <w:t>12 Months</w:t>
      </w:r>
    </w:p>
    <w:p>
      <w:pPr>
        <w:pStyle w:val="BodyText"/>
        <w:spacing w:before="11"/>
        <w:rPr>
          <w:sz w:val="23"/>
        </w:rPr>
      </w:pPr>
    </w:p>
    <w:p>
      <w:pPr>
        <w:pStyle w:val="Heading2"/>
      </w:pPr>
      <w:r>
        <w:rPr/>
        <w:t>Customer Service</w:t>
      </w:r>
    </w:p>
    <w:p>
      <w:pPr>
        <w:tabs>
          <w:tab w:pos="6146" w:val="right" w:leader="none"/>
        </w:tabs>
        <w:spacing w:before="1"/>
        <w:ind w:left="120" w:right="0" w:firstLine="0"/>
        <w:jc w:val="left"/>
        <w:rPr>
          <w:sz w:val="24"/>
        </w:rPr>
      </w:pPr>
      <w:r>
        <w:rPr>
          <w:b/>
          <w:sz w:val="24"/>
        </w:rPr>
        <w:t>Eligibility/Claims</w:t>
      </w:r>
      <w:r>
        <w:rPr>
          <w:b/>
          <w:spacing w:val="-3"/>
          <w:sz w:val="24"/>
        </w:rPr>
        <w:t> </w:t>
      </w:r>
      <w:r>
        <w:rPr>
          <w:b/>
          <w:sz w:val="24"/>
        </w:rPr>
        <w:t>Status:</w:t>
        <w:tab/>
      </w:r>
      <w:r>
        <w:rPr>
          <w:sz w:val="24"/>
        </w:rPr>
        <w:t>1-800-741-0185</w:t>
      </w:r>
    </w:p>
    <w:p>
      <w:pPr>
        <w:tabs>
          <w:tab w:pos="4439" w:val="left" w:leader="none"/>
        </w:tabs>
        <w:spacing w:before="288"/>
        <w:ind w:left="120" w:right="0" w:firstLine="0"/>
        <w:jc w:val="left"/>
        <w:rPr>
          <w:sz w:val="24"/>
        </w:rPr>
      </w:pPr>
      <w:r>
        <w:rPr>
          <w:b/>
          <w:sz w:val="24"/>
        </w:rPr>
        <w:t>Pre-Certification:</w:t>
        <w:tab/>
      </w:r>
      <w:r>
        <w:rPr>
          <w:sz w:val="24"/>
        </w:rPr>
        <w:t>Spectrum Review Services,</w:t>
      </w:r>
      <w:r>
        <w:rPr>
          <w:spacing w:val="-7"/>
          <w:sz w:val="24"/>
        </w:rPr>
        <w:t> </w:t>
      </w:r>
      <w:r>
        <w:rPr>
          <w:sz w:val="24"/>
        </w:rPr>
        <w:t>Inc.</w:t>
      </w:r>
    </w:p>
    <w:p>
      <w:pPr>
        <w:pStyle w:val="BodyText"/>
        <w:spacing w:before="1"/>
        <w:ind w:left="4440"/>
      </w:pPr>
      <w:r>
        <w:rPr/>
        <w:t>1-800-258-5055</w:t>
      </w:r>
    </w:p>
    <w:sectPr>
      <w:pgSz w:w="12240" w:h="15840"/>
      <w:pgMar w:header="0" w:footer="723" w:top="1360" w:bottom="920" w:left="168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89pt;margin-top:744.841309pt;width:42.4pt;height:12.25pt;mso-position-horizontal-relative:page;mso-position-vertical-relative:page;z-index:-251756544" type="#_x0000_t202" filled="false" stroked="false">
          <v:textbox inset="0,0,0,0">
            <w:txbxContent>
              <w:p>
                <w:pPr>
                  <w:spacing w:before="19"/>
                  <w:ind w:left="20" w:right="0" w:firstLine="0"/>
                  <w:jc w:val="left"/>
                  <w:rPr>
                    <w:i/>
                    <w:sz w:val="17"/>
                  </w:rPr>
                </w:pPr>
                <w:r>
                  <w:rPr>
                    <w:i/>
                    <w:sz w:val="17"/>
                  </w:rPr>
                  <w:t>Page</w:t>
                </w:r>
                <w:r>
                  <w:rPr>
                    <w:i/>
                    <w:spacing w:val="-16"/>
                    <w:sz w:val="17"/>
                  </w:rPr>
                  <w:t> </w:t>
                </w:r>
                <w:r>
                  <w:rPr/>
                  <w:fldChar w:fldCharType="begin"/>
                </w:r>
                <w:r>
                  <w:rPr>
                    <w:i/>
                    <w:sz w:val="17"/>
                  </w:rPr>
                  <w:instrText> PAGE </w:instrText>
                </w:r>
                <w:r>
                  <w:rPr/>
                  <w:fldChar w:fldCharType="separate"/>
                </w:r>
                <w:r>
                  <w:rPr/>
                  <w:t>1</w:t>
                </w:r>
                <w:r>
                  <w:rPr/>
                  <w:fldChar w:fldCharType="end"/>
                </w:r>
                <w:r>
                  <w:rPr>
                    <w:i/>
                    <w:spacing w:val="-15"/>
                    <w:sz w:val="17"/>
                  </w:rPr>
                  <w:t> </w:t>
                </w:r>
                <w:r>
                  <w:rPr>
                    <w:i/>
                    <w:sz w:val="17"/>
                  </w:rPr>
                  <w:t>of</w:t>
                </w:r>
                <w:r>
                  <w:rPr>
                    <w:i/>
                    <w:spacing w:val="-17"/>
                    <w:sz w:val="17"/>
                  </w:rPr>
                  <w:t> </w:t>
                </w:r>
                <w:r>
                  <w:rPr>
                    <w:i/>
                    <w:sz w:val="17"/>
                  </w:rPr>
                  <w:t>3</w:t>
                </w:r>
              </w:p>
            </w:txbxContent>
          </v:textbox>
          <w10:wrap type="none"/>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en-us"/>
    </w:rPr>
  </w:style>
  <w:style w:styleId="BodyText" w:type="paragraph">
    <w:name w:val="Body Text"/>
    <w:basedOn w:val="Normal"/>
    <w:uiPriority w:val="1"/>
    <w:qFormat/>
    <w:pPr/>
    <w:rPr>
      <w:rFonts w:ascii="Tahoma" w:hAnsi="Tahoma" w:eastAsia="Tahoma" w:cs="Tahoma"/>
      <w:sz w:val="24"/>
      <w:szCs w:val="24"/>
      <w:lang w:val="en-us" w:eastAsia="en-us" w:bidi="en-us"/>
    </w:rPr>
  </w:style>
  <w:style w:styleId="Heading1" w:type="paragraph">
    <w:name w:val="Heading 1"/>
    <w:basedOn w:val="Normal"/>
    <w:uiPriority w:val="1"/>
    <w:qFormat/>
    <w:pPr>
      <w:ind w:left="120"/>
      <w:outlineLvl w:val="1"/>
    </w:pPr>
    <w:rPr>
      <w:rFonts w:ascii="Tahoma" w:hAnsi="Tahoma" w:eastAsia="Tahoma" w:cs="Tahoma"/>
      <w:b/>
      <w:bCs/>
      <w:sz w:val="28"/>
      <w:szCs w:val="28"/>
      <w:lang w:val="en-us" w:eastAsia="en-us" w:bidi="en-us"/>
    </w:rPr>
  </w:style>
  <w:style w:styleId="Heading2" w:type="paragraph">
    <w:name w:val="Heading 2"/>
    <w:basedOn w:val="Normal"/>
    <w:uiPriority w:val="1"/>
    <w:qFormat/>
    <w:pPr>
      <w:ind w:left="120"/>
      <w:outlineLvl w:val="2"/>
    </w:pPr>
    <w:rPr>
      <w:rFonts w:ascii="Tahoma" w:hAnsi="Tahoma" w:eastAsia="Tahoma" w:cs="Tahoma"/>
      <w:b/>
      <w:bCs/>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nexcalib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Welch</dc:creator>
  <dc:title>CIGNA HEALTHCARE OF TEXAS</dc:title>
  <dcterms:created xsi:type="dcterms:W3CDTF">2019-10-30T16:23:15Z</dcterms:created>
  <dcterms:modified xsi:type="dcterms:W3CDTF">2019-10-30T16:23:15Z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Acrobat PDFMaker 11 for Word</vt:lpwstr>
  </property>
  <property fmtid="{D5CDD505-2E9C-101B-9397-08002B2CF9AE}" pid="4" name="LastSaved">
    <vt:filetime>2019-10-30T00:00:00Z</vt:filetime>
  </property>
</Properties>
</file>