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9"/>
        <w:ind w:left="1980" w:right="2000" w:firstLine="0"/>
        <w:jc w:val="center"/>
        <w:rPr>
          <w:rFonts w:ascii="Times New Roman"/>
          <w:sz w:val="43"/>
        </w:rPr>
      </w:pPr>
      <w:r>
        <w:rPr>
          <w:rFonts w:ascii="Times New Roman"/>
          <w:sz w:val="43"/>
        </w:rPr>
        <w:t>SUPERIOR</w:t>
      </w:r>
    </w:p>
    <w:p>
      <w:pPr>
        <w:pStyle w:val="BodyText"/>
        <w:spacing w:before="8"/>
        <w:rPr>
          <w:rFonts w:ascii="Times New Roman"/>
          <w:sz w:val="11"/>
        </w:rPr>
      </w:pPr>
      <w:r>
        <w:rPr/>
        <w:pict>
          <v:shape style="position:absolute;margin-left:62pt;margin-top:9.0762pt;width:472.75pt;height:.1pt;mso-position-horizontal-relative:page;mso-position-vertical-relative:paragraph;z-index:-251658240;mso-wrap-distance-left:0;mso-wrap-distance-right:0" coordorigin="1240,182" coordsize="9455,0" path="m1240,182l10695,182e" filled="false" stroked="true" strokeweight=".721pt" strokecolor="#000000">
            <v:path arrowok="t"/>
            <v:stroke dashstyle="solid"/>
            <w10:wrap type="topAndBottom"/>
          </v:shape>
        </w:pict>
      </w:r>
    </w:p>
    <w:p>
      <w:pPr>
        <w:spacing w:before="54"/>
        <w:ind w:left="1980" w:right="2027" w:firstLine="0"/>
        <w:jc w:val="center"/>
        <w:rPr>
          <w:rFonts w:ascii="Times New Roman"/>
          <w:sz w:val="32"/>
        </w:rPr>
      </w:pPr>
      <w:r>
        <w:rPr>
          <w:rFonts w:ascii="Times New Roman"/>
          <w:sz w:val="32"/>
        </w:rPr>
        <w:t>EFFECTIVE DATE SEPTEMBER 1, 2011</w:t>
      </w:r>
    </w:p>
    <w:p>
      <w:pPr>
        <w:spacing w:before="257"/>
        <w:ind w:left="1980" w:right="1851" w:firstLine="0"/>
        <w:jc w:val="center"/>
        <w:rPr>
          <w:b/>
          <w:sz w:val="32"/>
        </w:rPr>
      </w:pPr>
      <w:bookmarkStart w:name="CHIPs in Rural Service Area (RSA)" w:id="1"/>
      <w:bookmarkEnd w:id="1"/>
      <w:r>
        <w:rPr/>
      </w:r>
      <w:r>
        <w:rPr>
          <w:b/>
          <w:sz w:val="32"/>
        </w:rPr>
        <w:t>CHIPs in Rural Service Area (RSA)</w:t>
      </w:r>
    </w:p>
    <w:p>
      <w:pPr>
        <w:pStyle w:val="ListParagraph"/>
        <w:numPr>
          <w:ilvl w:val="0"/>
          <w:numId w:val="1"/>
        </w:numPr>
        <w:tabs>
          <w:tab w:pos="1223" w:val="left" w:leader="none"/>
          <w:tab w:pos="1224" w:val="left" w:leader="none"/>
        </w:tabs>
        <w:spacing w:line="240" w:lineRule="auto" w:before="285" w:after="0"/>
        <w:ind w:left="1223" w:right="0" w:hanging="726"/>
        <w:jc w:val="left"/>
        <w:rPr>
          <w:sz w:val="23"/>
        </w:rPr>
      </w:pPr>
      <w:r>
        <w:rPr>
          <w:w w:val="105"/>
          <w:sz w:val="22"/>
        </w:rPr>
        <w:t>Description of Plan -</w:t>
      </w:r>
      <w:r>
        <w:rPr>
          <w:spacing w:val="-42"/>
          <w:w w:val="105"/>
          <w:sz w:val="22"/>
        </w:rPr>
        <w:t> </w:t>
      </w:r>
      <w:r>
        <w:rPr>
          <w:w w:val="105"/>
          <w:sz w:val="22"/>
        </w:rPr>
        <w:t>OVERVIEW</w:t>
      </w:r>
    </w:p>
    <w:p>
      <w:pPr>
        <w:pStyle w:val="BodyText"/>
        <w:spacing w:before="1"/>
        <w:rPr>
          <w:sz w:val="26"/>
        </w:rPr>
      </w:pPr>
    </w:p>
    <w:p>
      <w:pPr>
        <w:pStyle w:val="ListParagraph"/>
        <w:numPr>
          <w:ilvl w:val="1"/>
          <w:numId w:val="1"/>
        </w:numPr>
        <w:tabs>
          <w:tab w:pos="1224" w:val="left" w:leader="none"/>
        </w:tabs>
        <w:spacing w:line="259" w:lineRule="auto" w:before="0" w:after="0"/>
        <w:ind w:left="1223" w:right="175" w:hanging="358"/>
        <w:jc w:val="left"/>
        <w:rPr>
          <w:sz w:val="22"/>
        </w:rPr>
      </w:pPr>
      <w:r>
        <w:rPr/>
        <w:drawing>
          <wp:anchor distT="0" distB="0" distL="0" distR="0" allowOverlap="1" layoutInCell="1" locked="0" behindDoc="1" simplePos="0" relativeHeight="251454464">
            <wp:simplePos x="0" y="0"/>
            <wp:positionH relativeFrom="page">
              <wp:posOffset>833432</wp:posOffset>
            </wp:positionH>
            <wp:positionV relativeFrom="paragraph">
              <wp:posOffset>242004</wp:posOffset>
            </wp:positionV>
            <wp:extent cx="5830810" cy="5650784"/>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5830810" cy="5650784"/>
                    </a:xfrm>
                    <a:prstGeom prst="rect">
                      <a:avLst/>
                    </a:prstGeom>
                  </pic:spPr>
                </pic:pic>
              </a:graphicData>
            </a:graphic>
          </wp:anchor>
        </w:drawing>
      </w:r>
      <w:r>
        <w:rPr>
          <w:w w:val="105"/>
          <w:sz w:val="22"/>
        </w:rPr>
        <w:t>The </w:t>
      </w:r>
      <w:r>
        <w:rPr>
          <w:w w:val="105"/>
          <w:sz w:val="22"/>
          <w:u w:val="thick"/>
        </w:rPr>
        <w:t>Children's Health Insurance Program (CHIP)</w:t>
      </w:r>
      <w:r>
        <w:rPr>
          <w:w w:val="105"/>
          <w:sz w:val="22"/>
        </w:rPr>
        <w:t> objective is to provide primary and preventative health care to low-income, uninsured children in Texas. The Health</w:t>
      </w:r>
      <w:r>
        <w:rPr>
          <w:spacing w:val="-26"/>
          <w:w w:val="105"/>
          <w:sz w:val="22"/>
        </w:rPr>
        <w:t> </w:t>
      </w:r>
      <w:r>
        <w:rPr>
          <w:w w:val="105"/>
          <w:sz w:val="22"/>
        </w:rPr>
        <w:t>and</w:t>
      </w:r>
      <w:r>
        <w:rPr>
          <w:spacing w:val="-31"/>
          <w:w w:val="105"/>
          <w:sz w:val="22"/>
        </w:rPr>
        <w:t> </w:t>
      </w:r>
      <w:r>
        <w:rPr>
          <w:w w:val="105"/>
          <w:sz w:val="22"/>
        </w:rPr>
        <w:t>Human</w:t>
      </w:r>
      <w:r>
        <w:rPr>
          <w:spacing w:val="-30"/>
          <w:w w:val="105"/>
          <w:sz w:val="22"/>
        </w:rPr>
        <w:t> </w:t>
      </w:r>
      <w:r>
        <w:rPr>
          <w:w w:val="105"/>
          <w:sz w:val="22"/>
        </w:rPr>
        <w:t>Services</w:t>
      </w:r>
      <w:r>
        <w:rPr>
          <w:spacing w:val="-25"/>
          <w:w w:val="105"/>
          <w:sz w:val="22"/>
        </w:rPr>
        <w:t> </w:t>
      </w:r>
      <w:r>
        <w:rPr>
          <w:w w:val="105"/>
          <w:sz w:val="22"/>
        </w:rPr>
        <w:t>Commission</w:t>
      </w:r>
      <w:r>
        <w:rPr>
          <w:spacing w:val="-21"/>
          <w:w w:val="105"/>
          <w:sz w:val="22"/>
        </w:rPr>
        <w:t> </w:t>
      </w:r>
      <w:r>
        <w:rPr>
          <w:w w:val="105"/>
          <w:sz w:val="22"/>
        </w:rPr>
        <w:t>(HHSC)</w:t>
      </w:r>
      <w:r>
        <w:rPr>
          <w:spacing w:val="-26"/>
          <w:w w:val="105"/>
          <w:sz w:val="22"/>
        </w:rPr>
        <w:t> </w:t>
      </w:r>
      <w:r>
        <w:rPr>
          <w:w w:val="105"/>
          <w:sz w:val="22"/>
        </w:rPr>
        <w:t>operates</w:t>
      </w:r>
      <w:r>
        <w:rPr>
          <w:spacing w:val="-25"/>
          <w:w w:val="105"/>
          <w:sz w:val="22"/>
        </w:rPr>
        <w:t> </w:t>
      </w:r>
      <w:r>
        <w:rPr>
          <w:w w:val="105"/>
          <w:sz w:val="22"/>
        </w:rPr>
        <w:t>a</w:t>
      </w:r>
      <w:r>
        <w:rPr>
          <w:spacing w:val="-30"/>
          <w:w w:val="105"/>
          <w:sz w:val="22"/>
        </w:rPr>
        <w:t> </w:t>
      </w:r>
      <w:r>
        <w:rPr>
          <w:w w:val="105"/>
          <w:sz w:val="22"/>
        </w:rPr>
        <w:t>managed</w:t>
      </w:r>
      <w:r>
        <w:rPr>
          <w:spacing w:val="-26"/>
          <w:w w:val="105"/>
          <w:sz w:val="22"/>
        </w:rPr>
        <w:t> </w:t>
      </w:r>
      <w:r>
        <w:rPr>
          <w:w w:val="105"/>
          <w:sz w:val="22"/>
        </w:rPr>
        <w:t>health</w:t>
      </w:r>
      <w:r>
        <w:rPr>
          <w:spacing w:val="-28"/>
          <w:w w:val="105"/>
          <w:sz w:val="22"/>
        </w:rPr>
        <w:t> </w:t>
      </w:r>
      <w:r>
        <w:rPr>
          <w:w w:val="105"/>
          <w:sz w:val="22"/>
        </w:rPr>
        <w:t>care delivery system for CHIP under two models. CHIP covers children ages 18 and younger in families with incomes at or below 200% of the Federal Poverty Level (FPL) who have completed an application process and have been approved by HHSC. Angelina County Falls in the EPO service</w:t>
      </w:r>
      <w:r>
        <w:rPr>
          <w:spacing w:val="-33"/>
          <w:w w:val="105"/>
          <w:sz w:val="22"/>
        </w:rPr>
        <w:t> </w:t>
      </w:r>
      <w:r>
        <w:rPr>
          <w:w w:val="105"/>
          <w:sz w:val="22"/>
        </w:rPr>
        <w:t>area.</w:t>
      </w:r>
    </w:p>
    <w:p>
      <w:pPr>
        <w:pStyle w:val="BodyText"/>
        <w:spacing w:before="6"/>
      </w:pPr>
    </w:p>
    <w:p>
      <w:pPr>
        <w:pStyle w:val="ListParagraph"/>
        <w:numPr>
          <w:ilvl w:val="1"/>
          <w:numId w:val="1"/>
        </w:numPr>
        <w:tabs>
          <w:tab w:pos="1226" w:val="left" w:leader="none"/>
        </w:tabs>
        <w:spacing w:line="256" w:lineRule="auto" w:before="0" w:after="0"/>
        <w:ind w:left="1225" w:right="155" w:hanging="356"/>
        <w:jc w:val="left"/>
        <w:rPr>
          <w:sz w:val="23"/>
        </w:rPr>
      </w:pPr>
      <w:r>
        <w:rPr>
          <w:sz w:val="22"/>
        </w:rPr>
        <w:t>The </w:t>
      </w:r>
      <w:r>
        <w:rPr>
          <w:b/>
          <w:sz w:val="23"/>
          <w:u w:val="thick"/>
        </w:rPr>
        <w:t>CHIP Perinata</w:t>
      </w:r>
      <w:r>
        <w:rPr>
          <w:b/>
          <w:sz w:val="23"/>
        </w:rPr>
        <w:t>l </w:t>
      </w:r>
      <w:r>
        <w:rPr>
          <w:sz w:val="22"/>
        </w:rPr>
        <w:t>program is a sub-program of CHIP and provides care to unborn children of pregnant women with household incomes up to 200% of FPL and </w:t>
      </w:r>
      <w:r>
        <w:rPr>
          <w:spacing w:val="-2"/>
          <w:sz w:val="22"/>
        </w:rPr>
        <w:t>who </w:t>
      </w:r>
      <w:r>
        <w:rPr>
          <w:sz w:val="22"/>
        </w:rPr>
        <w:t>are not eligible for Medicaid (may be due to legal residency status). The CHIP Perinatal program also operates in the EPO area for which POET providers serve. The purpose of this program is to provide health care services to the pregnant mothers and the unborn babies in order to have better outcomes upon delivery (healthier</w:t>
      </w:r>
      <w:r>
        <w:rPr>
          <w:spacing w:val="20"/>
          <w:sz w:val="22"/>
        </w:rPr>
        <w:t> </w:t>
      </w:r>
      <w:r>
        <w:rPr>
          <w:sz w:val="22"/>
        </w:rPr>
        <w:t>babies).</w:t>
      </w:r>
    </w:p>
    <w:p>
      <w:pPr>
        <w:pStyle w:val="BodyText"/>
        <w:spacing w:before="8"/>
        <w:rPr>
          <w:sz w:val="23"/>
        </w:rPr>
      </w:pPr>
    </w:p>
    <w:p>
      <w:pPr>
        <w:pStyle w:val="ListParagraph"/>
        <w:numPr>
          <w:ilvl w:val="1"/>
          <w:numId w:val="1"/>
        </w:numPr>
        <w:tabs>
          <w:tab w:pos="1231" w:val="left" w:leader="none"/>
        </w:tabs>
        <w:spacing w:line="256" w:lineRule="auto" w:before="0" w:after="0"/>
        <w:ind w:left="1230" w:right="174" w:hanging="360"/>
        <w:jc w:val="left"/>
        <w:rPr>
          <w:sz w:val="23"/>
        </w:rPr>
      </w:pPr>
      <w:r>
        <w:rPr>
          <w:b/>
          <w:w w:val="105"/>
          <w:sz w:val="23"/>
          <w:u w:val="thick"/>
        </w:rPr>
        <w:t>Foster Care </w:t>
      </w:r>
      <w:r>
        <w:rPr>
          <w:w w:val="105"/>
          <w:sz w:val="23"/>
          <w:u w:val="thick"/>
        </w:rPr>
        <w:t>- </w:t>
      </w:r>
      <w:r>
        <w:rPr>
          <w:b/>
          <w:w w:val="105"/>
          <w:sz w:val="23"/>
          <w:u w:val="thick"/>
        </w:rPr>
        <w:t>STAR Health</w:t>
      </w:r>
      <w:r>
        <w:rPr>
          <w:b/>
          <w:w w:val="105"/>
          <w:sz w:val="23"/>
        </w:rPr>
        <w:t> </w:t>
      </w:r>
      <w:r>
        <w:rPr>
          <w:w w:val="105"/>
          <w:sz w:val="22"/>
        </w:rPr>
        <w:t>is a program for foster children that began in April 2008 developed to improve health care services and coordination for children in foster care. This is a mandatory state-wide program for these children that include a medical PCP home, defined network of providers and a defined benefit program enhanced from Traditional Medicaid. As of April 2008, all foster children throughout the state now participate in this</w:t>
      </w:r>
      <w:r>
        <w:rPr>
          <w:spacing w:val="-11"/>
          <w:w w:val="105"/>
          <w:sz w:val="22"/>
        </w:rPr>
        <w:t> </w:t>
      </w:r>
      <w:r>
        <w:rPr>
          <w:w w:val="105"/>
          <w:sz w:val="22"/>
        </w:rPr>
        <w:t>program.</w:t>
      </w:r>
    </w:p>
    <w:p>
      <w:pPr>
        <w:pStyle w:val="BodyText"/>
        <w:spacing w:before="3"/>
        <w:rPr>
          <w:sz w:val="20"/>
        </w:rPr>
      </w:pPr>
    </w:p>
    <w:p>
      <w:pPr>
        <w:pStyle w:val="BodyText"/>
        <w:spacing w:line="259" w:lineRule="auto"/>
        <w:ind w:left="1230" w:right="124" w:firstLine="4"/>
      </w:pPr>
      <w:r>
        <w:rPr>
          <w:w w:val="105"/>
        </w:rPr>
        <w:t>The</w:t>
      </w:r>
      <w:r>
        <w:rPr>
          <w:spacing w:val="-29"/>
          <w:w w:val="105"/>
        </w:rPr>
        <w:t> </w:t>
      </w:r>
      <w:r>
        <w:rPr>
          <w:w w:val="105"/>
        </w:rPr>
        <w:t>STAR</w:t>
      </w:r>
      <w:r>
        <w:rPr>
          <w:spacing w:val="-19"/>
          <w:w w:val="105"/>
        </w:rPr>
        <w:t> </w:t>
      </w:r>
      <w:r>
        <w:rPr>
          <w:w w:val="105"/>
        </w:rPr>
        <w:t>Health</w:t>
      </w:r>
      <w:r>
        <w:rPr>
          <w:spacing w:val="-17"/>
          <w:w w:val="105"/>
        </w:rPr>
        <w:t> </w:t>
      </w:r>
      <w:r>
        <w:rPr>
          <w:w w:val="105"/>
        </w:rPr>
        <w:t>Program</w:t>
      </w:r>
      <w:r>
        <w:rPr>
          <w:spacing w:val="-14"/>
          <w:w w:val="105"/>
        </w:rPr>
        <w:t> </w:t>
      </w:r>
      <w:r>
        <w:rPr>
          <w:w w:val="105"/>
        </w:rPr>
        <w:t>is</w:t>
      </w:r>
      <w:r>
        <w:rPr>
          <w:spacing w:val="-30"/>
          <w:w w:val="105"/>
        </w:rPr>
        <w:t> </w:t>
      </w:r>
      <w:r>
        <w:rPr>
          <w:w w:val="105"/>
        </w:rPr>
        <w:t>the</w:t>
      </w:r>
      <w:r>
        <w:rPr>
          <w:spacing w:val="-20"/>
          <w:w w:val="105"/>
        </w:rPr>
        <w:t> </w:t>
      </w:r>
      <w:r>
        <w:rPr>
          <w:w w:val="105"/>
        </w:rPr>
        <w:t>managed</w:t>
      </w:r>
      <w:r>
        <w:rPr>
          <w:spacing w:val="-17"/>
          <w:w w:val="105"/>
        </w:rPr>
        <w:t> </w:t>
      </w:r>
      <w:r>
        <w:rPr>
          <w:w w:val="105"/>
        </w:rPr>
        <w:t>care</w:t>
      </w:r>
      <w:r>
        <w:rPr>
          <w:spacing w:val="-19"/>
          <w:w w:val="105"/>
        </w:rPr>
        <w:t> </w:t>
      </w:r>
      <w:r>
        <w:rPr>
          <w:w w:val="105"/>
        </w:rPr>
        <w:t>program</w:t>
      </w:r>
      <w:r>
        <w:rPr>
          <w:spacing w:val="-14"/>
          <w:w w:val="105"/>
        </w:rPr>
        <w:t> </w:t>
      </w:r>
      <w:r>
        <w:rPr>
          <w:w w:val="105"/>
        </w:rPr>
        <w:t>for</w:t>
      </w:r>
      <w:r>
        <w:rPr>
          <w:spacing w:val="-18"/>
          <w:w w:val="105"/>
        </w:rPr>
        <w:t> </w:t>
      </w:r>
      <w:r>
        <w:rPr>
          <w:w w:val="105"/>
        </w:rPr>
        <w:t>foster</w:t>
      </w:r>
      <w:r>
        <w:rPr>
          <w:spacing w:val="-16"/>
          <w:w w:val="105"/>
        </w:rPr>
        <w:t> </w:t>
      </w:r>
      <w:r>
        <w:rPr>
          <w:w w:val="105"/>
        </w:rPr>
        <w:t>care</w:t>
      </w:r>
      <w:r>
        <w:rPr>
          <w:spacing w:val="-21"/>
          <w:w w:val="105"/>
        </w:rPr>
        <w:t> </w:t>
      </w:r>
      <w:r>
        <w:rPr>
          <w:w w:val="105"/>
        </w:rPr>
        <w:t>children and</w:t>
      </w:r>
      <w:r>
        <w:rPr>
          <w:spacing w:val="-23"/>
          <w:w w:val="105"/>
        </w:rPr>
        <w:t> </w:t>
      </w:r>
      <w:r>
        <w:rPr>
          <w:w w:val="105"/>
        </w:rPr>
        <w:t>is</w:t>
      </w:r>
      <w:r>
        <w:rPr>
          <w:spacing w:val="-24"/>
          <w:w w:val="105"/>
        </w:rPr>
        <w:t> </w:t>
      </w:r>
      <w:r>
        <w:rPr>
          <w:w w:val="105"/>
        </w:rPr>
        <w:t>managed</w:t>
      </w:r>
      <w:r>
        <w:rPr>
          <w:spacing w:val="-20"/>
          <w:w w:val="105"/>
        </w:rPr>
        <w:t> </w:t>
      </w:r>
      <w:r>
        <w:rPr>
          <w:w w:val="105"/>
        </w:rPr>
        <w:t>statewide</w:t>
      </w:r>
      <w:r>
        <w:rPr>
          <w:spacing w:val="-9"/>
          <w:w w:val="105"/>
        </w:rPr>
        <w:t> </w:t>
      </w:r>
      <w:r>
        <w:rPr>
          <w:w w:val="105"/>
        </w:rPr>
        <w:t>by</w:t>
      </w:r>
      <w:r>
        <w:rPr>
          <w:spacing w:val="-28"/>
          <w:w w:val="105"/>
        </w:rPr>
        <w:t> </w:t>
      </w:r>
      <w:r>
        <w:rPr>
          <w:w w:val="105"/>
        </w:rPr>
        <w:t>Superior</w:t>
      </w:r>
      <w:r>
        <w:rPr>
          <w:spacing w:val="-12"/>
          <w:w w:val="105"/>
        </w:rPr>
        <w:t> </w:t>
      </w:r>
      <w:r>
        <w:rPr>
          <w:w w:val="105"/>
        </w:rPr>
        <w:t>Health</w:t>
      </w:r>
      <w:r>
        <w:rPr>
          <w:spacing w:val="-18"/>
          <w:w w:val="105"/>
        </w:rPr>
        <w:t> </w:t>
      </w:r>
      <w:r>
        <w:rPr>
          <w:w w:val="105"/>
        </w:rPr>
        <w:t>Plan</w:t>
      </w:r>
      <w:r>
        <w:rPr>
          <w:spacing w:val="-20"/>
          <w:w w:val="105"/>
        </w:rPr>
        <w:t> </w:t>
      </w:r>
      <w:r>
        <w:rPr>
          <w:w w:val="105"/>
        </w:rPr>
        <w:t>Network.</w:t>
      </w:r>
      <w:r>
        <w:rPr>
          <w:spacing w:val="22"/>
          <w:w w:val="105"/>
        </w:rPr>
        <w:t> </w:t>
      </w:r>
      <w:r>
        <w:rPr>
          <w:w w:val="105"/>
        </w:rPr>
        <w:t>The</w:t>
      </w:r>
      <w:r>
        <w:rPr>
          <w:spacing w:val="-20"/>
          <w:w w:val="105"/>
        </w:rPr>
        <w:t> </w:t>
      </w:r>
      <w:r>
        <w:rPr>
          <w:w w:val="105"/>
        </w:rPr>
        <w:t>recent</w:t>
      </w:r>
      <w:r>
        <w:rPr>
          <w:spacing w:val="-22"/>
          <w:w w:val="105"/>
        </w:rPr>
        <w:t> </w:t>
      </w:r>
      <w:r>
        <w:rPr>
          <w:w w:val="105"/>
        </w:rPr>
        <w:t>changes related to Medicaid program expansion and re-procurement have no impact on the STAR Health program and will continue to be managed exclusively through Superior Health Plan Network.</w:t>
      </w:r>
    </w:p>
    <w:p>
      <w:pPr>
        <w:pStyle w:val="BodyText"/>
        <w:spacing w:before="2"/>
        <w:rPr>
          <w:sz w:val="20"/>
        </w:rPr>
      </w:pPr>
    </w:p>
    <w:p>
      <w:pPr>
        <w:pStyle w:val="BodyText"/>
        <w:spacing w:line="252" w:lineRule="auto"/>
        <w:ind w:left="1237" w:right="759" w:hanging="3"/>
      </w:pPr>
      <w:r>
        <w:rPr>
          <w:w w:val="105"/>
        </w:rPr>
        <w:t>The only change to this program is the move to direct contracts rather than through Superior's sub-contractor (TTC).</w:t>
      </w:r>
    </w:p>
    <w:p>
      <w:pPr>
        <w:pStyle w:val="BodyText"/>
        <w:rPr>
          <w:sz w:val="24"/>
        </w:rPr>
      </w:pPr>
    </w:p>
    <w:p>
      <w:pPr>
        <w:pStyle w:val="Heading1"/>
        <w:numPr>
          <w:ilvl w:val="0"/>
          <w:numId w:val="1"/>
        </w:numPr>
        <w:tabs>
          <w:tab w:pos="884" w:val="left" w:leader="none"/>
          <w:tab w:pos="885" w:val="left" w:leader="none"/>
        </w:tabs>
        <w:spacing w:line="240" w:lineRule="auto" w:before="211" w:after="0"/>
        <w:ind w:left="884" w:right="0" w:hanging="365"/>
        <w:jc w:val="left"/>
        <w:rPr>
          <w:sz w:val="22"/>
          <w:u w:val="none"/>
        </w:rPr>
      </w:pPr>
      <w:bookmarkStart w:name="II. Payer – DATED INFORMATION" w:id="2"/>
      <w:bookmarkEnd w:id="2"/>
      <w:r>
        <w:rPr>
          <w:b w:val="0"/>
          <w:u w:val="none"/>
        </w:rPr>
      </w:r>
      <w:bookmarkStart w:name="II. Payer – DATED INFORMATION" w:id="3"/>
      <w:bookmarkEnd w:id="3"/>
      <w:r>
        <w:rPr>
          <w:u w:val="none"/>
        </w:rPr>
        <w:t>P</w:t>
      </w:r>
      <w:r>
        <w:rPr>
          <w:u w:val="none"/>
        </w:rPr>
        <w:t>ayer – DATED</w:t>
      </w:r>
      <w:r>
        <w:rPr>
          <w:spacing w:val="-3"/>
          <w:u w:val="none"/>
        </w:rPr>
        <w:t> </w:t>
      </w:r>
      <w:r>
        <w:rPr>
          <w:u w:val="none"/>
        </w:rPr>
        <w:t>INFORMATION</w:t>
      </w:r>
    </w:p>
    <w:p>
      <w:pPr>
        <w:pStyle w:val="BodyText"/>
        <w:spacing w:before="8"/>
        <w:rPr>
          <w:b/>
        </w:rPr>
      </w:pPr>
    </w:p>
    <w:p>
      <w:pPr>
        <w:pStyle w:val="BodyText"/>
        <w:ind w:left="1247"/>
      </w:pPr>
      <w:r>
        <w:rPr/>
        <w:t>Payer - Superior Health Network.</w:t>
      </w:r>
    </w:p>
    <w:p>
      <w:pPr>
        <w:pStyle w:val="BodyText"/>
        <w:spacing w:before="11"/>
        <w:rPr>
          <w:sz w:val="24"/>
        </w:rPr>
      </w:pPr>
    </w:p>
    <w:p>
      <w:pPr>
        <w:pStyle w:val="ListParagraph"/>
        <w:numPr>
          <w:ilvl w:val="1"/>
          <w:numId w:val="1"/>
        </w:numPr>
        <w:tabs>
          <w:tab w:pos="1248" w:val="left" w:leader="none"/>
        </w:tabs>
        <w:spacing w:line="240" w:lineRule="auto" w:before="0" w:after="0"/>
        <w:ind w:left="1247" w:right="0" w:hanging="361"/>
        <w:jc w:val="left"/>
        <w:rPr>
          <w:sz w:val="22"/>
        </w:rPr>
      </w:pPr>
      <w:r>
        <w:rPr>
          <w:w w:val="105"/>
          <w:sz w:val="22"/>
        </w:rPr>
        <w:t>Billing</w:t>
      </w:r>
      <w:r>
        <w:rPr>
          <w:spacing w:val="-24"/>
          <w:w w:val="105"/>
          <w:sz w:val="22"/>
        </w:rPr>
        <w:t> </w:t>
      </w:r>
      <w:r>
        <w:rPr>
          <w:w w:val="105"/>
          <w:sz w:val="22"/>
        </w:rPr>
        <w:t>Address</w:t>
      </w:r>
    </w:p>
    <w:p>
      <w:pPr>
        <w:pStyle w:val="BodyText"/>
        <w:spacing w:line="259" w:lineRule="auto" w:before="30"/>
        <w:ind w:left="1246" w:right="5485" w:hanging="10"/>
      </w:pPr>
      <w:r>
        <w:rPr/>
        <w:t>Superior Health Plan Network PO Box3003</w:t>
      </w:r>
    </w:p>
    <w:p>
      <w:pPr>
        <w:pStyle w:val="BodyText"/>
        <w:spacing w:line="251" w:lineRule="exact"/>
        <w:ind w:left="1244"/>
      </w:pPr>
      <w:r>
        <w:rPr>
          <w:w w:val="105"/>
        </w:rPr>
        <w:t>Farmington, MO 63640-3803</w:t>
      </w:r>
    </w:p>
    <w:p>
      <w:pPr>
        <w:spacing w:after="0" w:line="251" w:lineRule="exact"/>
        <w:sectPr>
          <w:type w:val="continuous"/>
          <w:pgSz w:w="12260" w:h="15840"/>
          <w:pgMar w:top="900" w:bottom="280" w:left="1160" w:right="1460"/>
        </w:sectPr>
      </w:pPr>
    </w:p>
    <w:p>
      <w:pPr>
        <w:pStyle w:val="ListParagraph"/>
        <w:numPr>
          <w:ilvl w:val="1"/>
          <w:numId w:val="1"/>
        </w:numPr>
        <w:tabs>
          <w:tab w:pos="1195" w:val="left" w:leader="none"/>
        </w:tabs>
        <w:spacing w:line="240" w:lineRule="auto" w:before="101" w:after="0"/>
        <w:ind w:left="1194" w:right="0" w:hanging="361"/>
        <w:jc w:val="left"/>
        <w:rPr>
          <w:sz w:val="22"/>
        </w:rPr>
      </w:pPr>
      <w:r>
        <w:rPr>
          <w:w w:val="105"/>
          <w:sz w:val="22"/>
        </w:rPr>
        <w:t>Electronic Billing</w:t>
      </w:r>
      <w:r>
        <w:rPr>
          <w:spacing w:val="-12"/>
          <w:w w:val="105"/>
          <w:sz w:val="22"/>
        </w:rPr>
        <w:t> </w:t>
      </w:r>
      <w:r>
        <w:rPr>
          <w:w w:val="105"/>
          <w:sz w:val="22"/>
        </w:rPr>
        <w:t>Info</w:t>
      </w:r>
    </w:p>
    <w:p>
      <w:pPr>
        <w:pStyle w:val="BodyText"/>
        <w:spacing w:line="256" w:lineRule="auto" w:before="23"/>
        <w:ind w:left="1197" w:right="593" w:hanging="3"/>
      </w:pPr>
      <w:r>
        <w:rPr>
          <w:w w:val="105"/>
        </w:rPr>
        <w:t>EDI Department 877-391-5921 ext. 25319 - Superior prefers the office to call and speak to their specialist who will walk you through the set-up process.</w:t>
      </w:r>
    </w:p>
    <w:p>
      <w:pPr>
        <w:pStyle w:val="BodyText"/>
        <w:spacing w:line="259" w:lineRule="auto" w:before="3"/>
        <w:ind w:left="1203" w:right="3135" w:hanging="8"/>
      </w:pPr>
      <w:r>
        <w:rPr>
          <w:w w:val="105"/>
        </w:rPr>
        <w:t>Also, may bill electronically via the Superior website at </w:t>
      </w:r>
      <w:hyperlink r:id="rId6">
        <w:r>
          <w:rPr>
            <w:w w:val="105"/>
            <w:u w:val="thick"/>
          </w:rPr>
          <w:t>www.superiorhealthhplan.com</w:t>
        </w:r>
      </w:hyperlink>
    </w:p>
    <w:p>
      <w:pPr>
        <w:pStyle w:val="BodyText"/>
        <w:spacing w:before="4"/>
        <w:rPr>
          <w:sz w:val="14"/>
        </w:rPr>
      </w:pPr>
    </w:p>
    <w:p>
      <w:pPr>
        <w:pStyle w:val="ListParagraph"/>
        <w:numPr>
          <w:ilvl w:val="1"/>
          <w:numId w:val="1"/>
        </w:numPr>
        <w:tabs>
          <w:tab w:pos="1202" w:val="left" w:leader="none"/>
        </w:tabs>
        <w:spacing w:line="240" w:lineRule="auto" w:before="93" w:after="0"/>
        <w:ind w:left="1201" w:right="0" w:hanging="361"/>
        <w:jc w:val="left"/>
        <w:rPr>
          <w:i/>
          <w:sz w:val="22"/>
        </w:rPr>
      </w:pPr>
      <w:r>
        <w:rPr/>
        <w:drawing>
          <wp:anchor distT="0" distB="0" distL="0" distR="0" allowOverlap="1" layoutInCell="1" locked="0" behindDoc="1" simplePos="0" relativeHeight="251455488">
            <wp:simplePos x="0" y="0"/>
            <wp:positionH relativeFrom="page">
              <wp:posOffset>833432</wp:posOffset>
            </wp:positionH>
            <wp:positionV relativeFrom="paragraph">
              <wp:posOffset>298881</wp:posOffset>
            </wp:positionV>
            <wp:extent cx="5830810" cy="5650789"/>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5830810" cy="5650789"/>
                    </a:xfrm>
                    <a:prstGeom prst="rect">
                      <a:avLst/>
                    </a:prstGeom>
                  </pic:spPr>
                </pic:pic>
              </a:graphicData>
            </a:graphic>
          </wp:anchor>
        </w:drawing>
      </w:r>
      <w:r>
        <w:rPr>
          <w:w w:val="105"/>
          <w:sz w:val="22"/>
        </w:rPr>
        <w:t>Provider Representative – </w:t>
      </w:r>
      <w:r>
        <w:rPr>
          <w:i/>
          <w:w w:val="105"/>
          <w:sz w:val="23"/>
        </w:rPr>
        <w:t>CHECK POET</w:t>
      </w:r>
      <w:r>
        <w:rPr>
          <w:i/>
          <w:spacing w:val="-44"/>
          <w:w w:val="105"/>
          <w:sz w:val="23"/>
        </w:rPr>
        <w:t> </w:t>
      </w:r>
      <w:r>
        <w:rPr>
          <w:i/>
          <w:w w:val="105"/>
          <w:sz w:val="23"/>
        </w:rPr>
        <w:t>COMMUNITY</w:t>
      </w:r>
    </w:p>
    <w:p>
      <w:pPr>
        <w:pStyle w:val="BodyText"/>
        <w:rPr>
          <w:i/>
          <w:sz w:val="26"/>
        </w:rPr>
      </w:pPr>
    </w:p>
    <w:p>
      <w:pPr>
        <w:pStyle w:val="BodyText"/>
        <w:spacing w:before="9"/>
        <w:rPr>
          <w:i/>
          <w:sz w:val="20"/>
        </w:rPr>
      </w:pPr>
    </w:p>
    <w:p>
      <w:pPr>
        <w:pStyle w:val="BodyText"/>
        <w:spacing w:line="256" w:lineRule="auto" w:before="1"/>
        <w:ind w:left="841" w:right="5155" w:hanging="725"/>
        <w:jc w:val="both"/>
      </w:pPr>
      <w:r>
        <w:rPr/>
        <w:t>Ill. Covered Lives in </w:t>
      </w:r>
      <w:r>
        <w:rPr>
          <w:rFonts w:ascii="Times New Roman"/>
          <w:b/>
          <w:sz w:val="25"/>
        </w:rPr>
        <w:t>POET </w:t>
      </w:r>
      <w:r>
        <w:rPr/>
        <w:t>service area CHIP and Perinatal combined - 1150 Foster Care - 85</w:t>
      </w:r>
    </w:p>
    <w:p>
      <w:pPr>
        <w:pStyle w:val="BodyText"/>
        <w:rPr>
          <w:sz w:val="24"/>
        </w:rPr>
      </w:pPr>
    </w:p>
    <w:p>
      <w:pPr>
        <w:pStyle w:val="BodyText"/>
        <w:spacing w:before="3"/>
        <w:rPr>
          <w:sz w:val="23"/>
        </w:rPr>
      </w:pPr>
    </w:p>
    <w:p>
      <w:pPr>
        <w:pStyle w:val="Heading2"/>
        <w:numPr>
          <w:ilvl w:val="0"/>
          <w:numId w:val="2"/>
        </w:numPr>
        <w:tabs>
          <w:tab w:pos="851" w:val="left" w:leader="none"/>
          <w:tab w:pos="852" w:val="left" w:leader="none"/>
        </w:tabs>
        <w:spacing w:line="240" w:lineRule="auto" w:before="0" w:after="0"/>
        <w:ind w:left="851" w:right="0" w:hanging="721"/>
        <w:jc w:val="left"/>
      </w:pPr>
      <w:bookmarkStart w:name="IV. Effective Date" w:id="4"/>
      <w:bookmarkEnd w:id="4"/>
      <w:r>
        <w:rPr>
          <w:b w:val="0"/>
        </w:rPr>
      </w:r>
      <w:bookmarkStart w:name="IV. Effective Date" w:id="5"/>
      <w:bookmarkEnd w:id="5"/>
      <w:r>
        <w:rPr/>
        <w:t>E</w:t>
      </w:r>
      <w:r>
        <w:rPr/>
        <w:t>ffective</w:t>
      </w:r>
      <w:r>
        <w:rPr>
          <w:spacing w:val="7"/>
        </w:rPr>
        <w:t> </w:t>
      </w:r>
      <w:r>
        <w:rPr/>
        <w:t>Date</w:t>
      </w:r>
    </w:p>
    <w:p>
      <w:pPr>
        <w:pStyle w:val="BodyText"/>
        <w:spacing w:before="23"/>
        <w:ind w:left="841"/>
      </w:pPr>
      <w:r>
        <w:rPr>
          <w:w w:val="110"/>
        </w:rPr>
        <w:t>September 1, 2011</w:t>
      </w:r>
    </w:p>
    <w:p>
      <w:pPr>
        <w:pStyle w:val="BodyText"/>
        <w:rPr>
          <w:sz w:val="24"/>
        </w:rPr>
      </w:pPr>
    </w:p>
    <w:p>
      <w:pPr>
        <w:pStyle w:val="BodyText"/>
        <w:spacing w:before="2"/>
        <w:rPr>
          <w:sz w:val="25"/>
        </w:rPr>
      </w:pPr>
    </w:p>
    <w:p>
      <w:pPr>
        <w:pStyle w:val="Heading2"/>
        <w:numPr>
          <w:ilvl w:val="0"/>
          <w:numId w:val="2"/>
        </w:numPr>
        <w:tabs>
          <w:tab w:pos="855" w:val="left" w:leader="none"/>
          <w:tab w:pos="856" w:val="left" w:leader="none"/>
        </w:tabs>
        <w:spacing w:line="240" w:lineRule="auto" w:before="0" w:after="0"/>
        <w:ind w:left="856" w:right="0" w:hanging="725"/>
        <w:jc w:val="left"/>
      </w:pPr>
      <w:bookmarkStart w:name="V. Reimbursement" w:id="6"/>
      <w:bookmarkEnd w:id="6"/>
      <w:r>
        <w:rPr>
          <w:b w:val="0"/>
        </w:rPr>
      </w:r>
      <w:bookmarkStart w:name="V. Reimbursement" w:id="7"/>
      <w:bookmarkEnd w:id="7"/>
      <w:r>
        <w:rPr/>
        <w:t>R</w:t>
      </w:r>
      <w:r>
        <w:rPr/>
        <w:t>eimbursement</w:t>
      </w:r>
    </w:p>
    <w:p>
      <w:pPr>
        <w:pStyle w:val="BodyText"/>
        <w:spacing w:before="4"/>
        <w:rPr>
          <w:b/>
          <w:sz w:val="25"/>
        </w:rPr>
      </w:pPr>
    </w:p>
    <w:p>
      <w:pPr>
        <w:pStyle w:val="ListParagraph"/>
        <w:numPr>
          <w:ilvl w:val="1"/>
          <w:numId w:val="2"/>
        </w:numPr>
        <w:tabs>
          <w:tab w:pos="1216" w:val="left" w:leader="none"/>
        </w:tabs>
        <w:spacing w:line="240" w:lineRule="auto" w:before="0" w:after="0"/>
        <w:ind w:left="1216" w:right="0" w:hanging="358"/>
        <w:jc w:val="left"/>
        <w:rPr>
          <w:sz w:val="22"/>
        </w:rPr>
      </w:pPr>
      <w:r>
        <w:rPr>
          <w:sz w:val="22"/>
        </w:rPr>
        <w:t>Fee</w:t>
      </w:r>
      <w:r>
        <w:rPr>
          <w:spacing w:val="-10"/>
          <w:sz w:val="22"/>
        </w:rPr>
        <w:t> </w:t>
      </w:r>
      <w:r>
        <w:rPr>
          <w:sz w:val="22"/>
        </w:rPr>
        <w:t>Schedule</w:t>
      </w:r>
    </w:p>
    <w:p>
      <w:pPr>
        <w:pStyle w:val="BodyText"/>
        <w:spacing w:before="21"/>
        <w:ind w:left="1216"/>
      </w:pPr>
      <w:r>
        <w:rPr>
          <w:w w:val="105"/>
        </w:rPr>
        <w:t>110% current Medicaid allowable</w:t>
      </w:r>
    </w:p>
    <w:p>
      <w:pPr>
        <w:pStyle w:val="BodyText"/>
        <w:spacing w:before="11"/>
        <w:rPr>
          <w:sz w:val="24"/>
        </w:rPr>
      </w:pPr>
    </w:p>
    <w:p>
      <w:pPr>
        <w:pStyle w:val="ListParagraph"/>
        <w:numPr>
          <w:ilvl w:val="1"/>
          <w:numId w:val="2"/>
        </w:numPr>
        <w:tabs>
          <w:tab w:pos="1224" w:val="left" w:leader="none"/>
        </w:tabs>
        <w:spacing w:line="240" w:lineRule="auto" w:before="0" w:after="0"/>
        <w:ind w:left="1223" w:right="0" w:hanging="361"/>
        <w:jc w:val="left"/>
        <w:rPr>
          <w:sz w:val="22"/>
        </w:rPr>
      </w:pPr>
      <w:r>
        <w:rPr>
          <w:sz w:val="22"/>
        </w:rPr>
        <w:t>Prompt Pay</w:t>
      </w:r>
      <w:r>
        <w:rPr>
          <w:spacing w:val="2"/>
          <w:sz w:val="22"/>
        </w:rPr>
        <w:t> </w:t>
      </w:r>
      <w:r>
        <w:rPr>
          <w:sz w:val="22"/>
        </w:rPr>
        <w:t>Provisions</w:t>
      </w:r>
    </w:p>
    <w:p>
      <w:pPr>
        <w:pStyle w:val="BodyText"/>
        <w:spacing w:line="256" w:lineRule="auto" w:before="30"/>
        <w:ind w:left="1218" w:right="124" w:hanging="3"/>
      </w:pPr>
      <w:r>
        <w:rPr>
          <w:w w:val="105"/>
        </w:rPr>
        <w:t>Clean claims adjudicated within 30 days from the date the claim is received. If not, payer shall pay provider interest at the rate of 1.5% per month (18% per annum) calculated daily, for the full period in which the Clean Claim remains unadjudicated</w:t>
      </w:r>
      <w:r>
        <w:rPr>
          <w:spacing w:val="-25"/>
          <w:w w:val="105"/>
        </w:rPr>
        <w:t> </w:t>
      </w:r>
      <w:r>
        <w:rPr>
          <w:w w:val="105"/>
        </w:rPr>
        <w:t>beyond</w:t>
      </w:r>
      <w:r>
        <w:rPr>
          <w:spacing w:val="-40"/>
          <w:w w:val="105"/>
        </w:rPr>
        <w:t> </w:t>
      </w:r>
      <w:r>
        <w:rPr>
          <w:w w:val="105"/>
        </w:rPr>
        <w:t>the</w:t>
      </w:r>
      <w:r>
        <w:rPr>
          <w:spacing w:val="-40"/>
          <w:w w:val="105"/>
        </w:rPr>
        <w:t> </w:t>
      </w:r>
      <w:r>
        <w:rPr>
          <w:w w:val="105"/>
        </w:rPr>
        <w:t>30-day</w:t>
      </w:r>
      <w:r>
        <w:rPr>
          <w:spacing w:val="-39"/>
          <w:w w:val="105"/>
        </w:rPr>
        <w:t> </w:t>
      </w:r>
      <w:r>
        <w:rPr>
          <w:w w:val="105"/>
        </w:rPr>
        <w:t>claims</w:t>
      </w:r>
      <w:r>
        <w:rPr>
          <w:spacing w:val="-39"/>
          <w:w w:val="105"/>
        </w:rPr>
        <w:t> </w:t>
      </w:r>
      <w:r>
        <w:rPr>
          <w:w w:val="105"/>
        </w:rPr>
        <w:t>processing</w:t>
      </w:r>
      <w:r>
        <w:rPr>
          <w:spacing w:val="-38"/>
          <w:w w:val="105"/>
        </w:rPr>
        <w:t> </w:t>
      </w:r>
      <w:r>
        <w:rPr>
          <w:w w:val="105"/>
        </w:rPr>
        <w:t>deadline.</w:t>
      </w:r>
      <w:r>
        <w:rPr>
          <w:spacing w:val="-38"/>
          <w:w w:val="105"/>
        </w:rPr>
        <w:t> </w:t>
      </w:r>
      <w:r>
        <w:rPr>
          <w:w w:val="105"/>
        </w:rPr>
        <w:t>(CHIPs</w:t>
      </w:r>
      <w:r>
        <w:rPr>
          <w:spacing w:val="-40"/>
          <w:w w:val="105"/>
        </w:rPr>
        <w:t> </w:t>
      </w:r>
      <w:r>
        <w:rPr>
          <w:w w:val="105"/>
        </w:rPr>
        <w:t>Art.</w:t>
      </w:r>
      <w:r>
        <w:rPr>
          <w:spacing w:val="-43"/>
          <w:w w:val="105"/>
        </w:rPr>
        <w:t> </w:t>
      </w:r>
      <w:r>
        <w:rPr>
          <w:w w:val="105"/>
        </w:rPr>
        <w:t>11.2.49).</w:t>
      </w:r>
    </w:p>
    <w:p>
      <w:pPr>
        <w:pStyle w:val="BodyText"/>
        <w:spacing w:before="11"/>
        <w:rPr>
          <w:sz w:val="23"/>
        </w:rPr>
      </w:pPr>
    </w:p>
    <w:p>
      <w:pPr>
        <w:pStyle w:val="ListParagraph"/>
        <w:numPr>
          <w:ilvl w:val="1"/>
          <w:numId w:val="2"/>
        </w:numPr>
        <w:tabs>
          <w:tab w:pos="1224" w:val="left" w:leader="none"/>
        </w:tabs>
        <w:spacing w:line="240" w:lineRule="auto" w:before="0" w:after="0"/>
        <w:ind w:left="1223" w:right="0" w:hanging="364"/>
        <w:jc w:val="left"/>
        <w:rPr>
          <w:sz w:val="22"/>
        </w:rPr>
      </w:pPr>
      <w:r>
        <w:rPr>
          <w:w w:val="105"/>
          <w:sz w:val="22"/>
        </w:rPr>
        <w:t>Claims Filing</w:t>
      </w:r>
      <w:r>
        <w:rPr>
          <w:spacing w:val="-30"/>
          <w:w w:val="105"/>
          <w:sz w:val="22"/>
        </w:rPr>
        <w:t> </w:t>
      </w:r>
      <w:r>
        <w:rPr>
          <w:w w:val="105"/>
          <w:sz w:val="22"/>
        </w:rPr>
        <w:t>Deadline</w:t>
      </w:r>
    </w:p>
    <w:p>
      <w:pPr>
        <w:pStyle w:val="BodyText"/>
        <w:spacing w:before="23"/>
        <w:ind w:left="1225"/>
      </w:pPr>
      <w:r>
        <w:rPr>
          <w:w w:val="105"/>
        </w:rPr>
        <w:t>95 days from date of service</w:t>
      </w:r>
    </w:p>
    <w:p>
      <w:pPr>
        <w:pStyle w:val="BodyText"/>
        <w:spacing w:before="21"/>
        <w:ind w:left="1230"/>
      </w:pPr>
      <w:r>
        <w:rPr>
          <w:w w:val="105"/>
        </w:rPr>
        <w:t>Payer must give 30-day notice if any changes in address to send claims.</w:t>
      </w:r>
    </w:p>
    <w:p>
      <w:pPr>
        <w:pStyle w:val="BodyText"/>
        <w:spacing w:before="11"/>
        <w:rPr>
          <w:sz w:val="24"/>
        </w:rPr>
      </w:pPr>
    </w:p>
    <w:p>
      <w:pPr>
        <w:pStyle w:val="ListParagraph"/>
        <w:numPr>
          <w:ilvl w:val="1"/>
          <w:numId w:val="2"/>
        </w:numPr>
        <w:tabs>
          <w:tab w:pos="1231" w:val="left" w:leader="none"/>
        </w:tabs>
        <w:spacing w:line="240" w:lineRule="auto" w:before="0" w:after="0"/>
        <w:ind w:left="1230" w:right="0" w:hanging="361"/>
        <w:jc w:val="left"/>
        <w:rPr>
          <w:sz w:val="22"/>
        </w:rPr>
      </w:pPr>
      <w:r>
        <w:rPr>
          <w:sz w:val="22"/>
        </w:rPr>
        <w:t>Claims or Encounter</w:t>
      </w:r>
      <w:r>
        <w:rPr>
          <w:spacing w:val="21"/>
          <w:sz w:val="22"/>
        </w:rPr>
        <w:t> </w:t>
      </w:r>
      <w:r>
        <w:rPr>
          <w:sz w:val="22"/>
        </w:rPr>
        <w:t>Submission</w:t>
      </w:r>
    </w:p>
    <w:p>
      <w:pPr>
        <w:pStyle w:val="BodyText"/>
        <w:spacing w:before="9"/>
        <w:rPr>
          <w:sz w:val="25"/>
        </w:rPr>
      </w:pPr>
    </w:p>
    <w:p>
      <w:pPr>
        <w:pStyle w:val="ListParagraph"/>
        <w:numPr>
          <w:ilvl w:val="2"/>
          <w:numId w:val="2"/>
        </w:numPr>
        <w:tabs>
          <w:tab w:pos="1588" w:val="left" w:leader="none"/>
        </w:tabs>
        <w:spacing w:line="259" w:lineRule="auto" w:before="0" w:after="0"/>
        <w:ind w:left="1591" w:right="300" w:hanging="360"/>
        <w:jc w:val="both"/>
        <w:rPr>
          <w:sz w:val="22"/>
        </w:rPr>
      </w:pPr>
      <w:r>
        <w:rPr>
          <w:w w:val="105"/>
          <w:sz w:val="22"/>
        </w:rPr>
        <w:t>IPA</w:t>
      </w:r>
      <w:r>
        <w:rPr>
          <w:spacing w:val="-22"/>
          <w:w w:val="105"/>
          <w:sz w:val="22"/>
        </w:rPr>
        <w:t> </w:t>
      </w:r>
      <w:r>
        <w:rPr>
          <w:w w:val="105"/>
          <w:sz w:val="22"/>
        </w:rPr>
        <w:t>Provider</w:t>
      </w:r>
      <w:r>
        <w:rPr>
          <w:spacing w:val="-19"/>
          <w:w w:val="105"/>
          <w:sz w:val="22"/>
        </w:rPr>
        <w:t> </w:t>
      </w:r>
      <w:r>
        <w:rPr>
          <w:w w:val="105"/>
          <w:sz w:val="22"/>
        </w:rPr>
        <w:t>shall</w:t>
      </w:r>
      <w:r>
        <w:rPr>
          <w:spacing w:val="-20"/>
          <w:w w:val="105"/>
          <w:sz w:val="22"/>
        </w:rPr>
        <w:t> </w:t>
      </w:r>
      <w:r>
        <w:rPr>
          <w:w w:val="105"/>
          <w:sz w:val="22"/>
        </w:rPr>
        <w:t>submit</w:t>
      </w:r>
      <w:r>
        <w:rPr>
          <w:spacing w:val="-18"/>
          <w:w w:val="105"/>
          <w:sz w:val="22"/>
        </w:rPr>
        <w:t> </w:t>
      </w:r>
      <w:r>
        <w:rPr>
          <w:w w:val="105"/>
          <w:sz w:val="22"/>
        </w:rPr>
        <w:t>to</w:t>
      </w:r>
      <w:r>
        <w:rPr>
          <w:spacing w:val="-18"/>
          <w:w w:val="105"/>
          <w:sz w:val="22"/>
        </w:rPr>
        <w:t> </w:t>
      </w:r>
      <w:r>
        <w:rPr>
          <w:w w:val="105"/>
          <w:sz w:val="22"/>
        </w:rPr>
        <w:t>Payor</w:t>
      </w:r>
      <w:r>
        <w:rPr>
          <w:spacing w:val="-19"/>
          <w:w w:val="105"/>
          <w:sz w:val="22"/>
        </w:rPr>
        <w:t> </w:t>
      </w:r>
      <w:r>
        <w:rPr>
          <w:w w:val="105"/>
          <w:sz w:val="22"/>
        </w:rPr>
        <w:t>claims</w:t>
      </w:r>
      <w:r>
        <w:rPr>
          <w:spacing w:val="-19"/>
          <w:w w:val="105"/>
          <w:sz w:val="22"/>
        </w:rPr>
        <w:t> </w:t>
      </w:r>
      <w:r>
        <w:rPr>
          <w:w w:val="105"/>
          <w:sz w:val="22"/>
        </w:rPr>
        <w:t>or</w:t>
      </w:r>
      <w:r>
        <w:rPr>
          <w:spacing w:val="-21"/>
          <w:w w:val="105"/>
          <w:sz w:val="22"/>
        </w:rPr>
        <w:t> </w:t>
      </w:r>
      <w:r>
        <w:rPr>
          <w:w w:val="105"/>
          <w:sz w:val="22"/>
        </w:rPr>
        <w:t>encounters</w:t>
      </w:r>
      <w:r>
        <w:rPr>
          <w:spacing w:val="-16"/>
          <w:w w:val="105"/>
          <w:sz w:val="22"/>
        </w:rPr>
        <w:t> </w:t>
      </w:r>
      <w:r>
        <w:rPr>
          <w:w w:val="105"/>
          <w:sz w:val="22"/>
        </w:rPr>
        <w:t>for</w:t>
      </w:r>
      <w:r>
        <w:rPr>
          <w:spacing w:val="-19"/>
          <w:w w:val="105"/>
          <w:sz w:val="22"/>
        </w:rPr>
        <w:t> </w:t>
      </w:r>
      <w:r>
        <w:rPr>
          <w:w w:val="105"/>
          <w:sz w:val="22"/>
        </w:rPr>
        <w:t>Covered</w:t>
      </w:r>
      <w:r>
        <w:rPr>
          <w:spacing w:val="-15"/>
          <w:w w:val="105"/>
          <w:sz w:val="22"/>
        </w:rPr>
        <w:t> </w:t>
      </w:r>
      <w:r>
        <w:rPr>
          <w:w w:val="105"/>
          <w:sz w:val="22"/>
        </w:rPr>
        <w:t>Services in</w:t>
      </w:r>
      <w:r>
        <w:rPr>
          <w:spacing w:val="-13"/>
          <w:w w:val="105"/>
          <w:sz w:val="22"/>
        </w:rPr>
        <w:t> </w:t>
      </w:r>
      <w:r>
        <w:rPr>
          <w:w w:val="105"/>
          <w:sz w:val="22"/>
        </w:rPr>
        <w:t>accordance</w:t>
      </w:r>
      <w:r>
        <w:rPr>
          <w:spacing w:val="14"/>
          <w:w w:val="105"/>
          <w:sz w:val="22"/>
        </w:rPr>
        <w:t> </w:t>
      </w:r>
      <w:r>
        <w:rPr>
          <w:w w:val="105"/>
          <w:sz w:val="22"/>
        </w:rPr>
        <w:t>with</w:t>
      </w:r>
      <w:r>
        <w:rPr>
          <w:spacing w:val="-13"/>
          <w:w w:val="105"/>
          <w:sz w:val="22"/>
        </w:rPr>
        <w:t> </w:t>
      </w:r>
      <w:r>
        <w:rPr>
          <w:w w:val="105"/>
          <w:sz w:val="22"/>
        </w:rPr>
        <w:t>the</w:t>
      </w:r>
      <w:r>
        <w:rPr>
          <w:spacing w:val="4"/>
          <w:w w:val="105"/>
          <w:sz w:val="22"/>
        </w:rPr>
        <w:t> </w:t>
      </w:r>
      <w:r>
        <w:rPr>
          <w:w w:val="105"/>
          <w:sz w:val="22"/>
        </w:rPr>
        <w:t>Provider Manual,</w:t>
      </w:r>
      <w:r>
        <w:rPr>
          <w:spacing w:val="-6"/>
          <w:w w:val="105"/>
          <w:sz w:val="22"/>
        </w:rPr>
        <w:t> </w:t>
      </w:r>
      <w:r>
        <w:rPr>
          <w:w w:val="105"/>
          <w:sz w:val="22"/>
        </w:rPr>
        <w:t>except</w:t>
      </w:r>
      <w:r>
        <w:rPr>
          <w:spacing w:val="-4"/>
          <w:w w:val="105"/>
          <w:sz w:val="22"/>
        </w:rPr>
        <w:t> </w:t>
      </w:r>
      <w:r>
        <w:rPr>
          <w:w w:val="105"/>
          <w:sz w:val="22"/>
        </w:rPr>
        <w:t>as</w:t>
      </w:r>
      <w:r>
        <w:rPr>
          <w:spacing w:val="-13"/>
          <w:w w:val="105"/>
          <w:sz w:val="22"/>
        </w:rPr>
        <w:t> </w:t>
      </w:r>
      <w:r>
        <w:rPr>
          <w:w w:val="105"/>
          <w:sz w:val="22"/>
        </w:rPr>
        <w:t>otherwise</w:t>
      </w:r>
      <w:r>
        <w:rPr>
          <w:spacing w:val="-3"/>
          <w:w w:val="105"/>
          <w:sz w:val="22"/>
        </w:rPr>
        <w:t> </w:t>
      </w:r>
      <w:r>
        <w:rPr>
          <w:w w:val="105"/>
          <w:sz w:val="22"/>
        </w:rPr>
        <w:t>set</w:t>
      </w:r>
      <w:r>
        <w:rPr>
          <w:spacing w:val="-13"/>
          <w:w w:val="105"/>
          <w:sz w:val="22"/>
        </w:rPr>
        <w:t> </w:t>
      </w:r>
      <w:r>
        <w:rPr>
          <w:w w:val="105"/>
          <w:sz w:val="22"/>
        </w:rPr>
        <w:t>forth</w:t>
      </w:r>
      <w:r>
        <w:rPr>
          <w:spacing w:val="-5"/>
          <w:w w:val="105"/>
          <w:sz w:val="22"/>
        </w:rPr>
        <w:t> </w:t>
      </w:r>
      <w:r>
        <w:rPr>
          <w:w w:val="105"/>
          <w:sz w:val="22"/>
        </w:rPr>
        <w:t>in</w:t>
      </w:r>
      <w:r>
        <w:rPr>
          <w:spacing w:val="-15"/>
          <w:w w:val="105"/>
          <w:sz w:val="22"/>
        </w:rPr>
        <w:t> </w:t>
      </w:r>
      <w:r>
        <w:rPr>
          <w:w w:val="105"/>
          <w:sz w:val="22"/>
        </w:rPr>
        <w:t>this Agreement. (Art.</w:t>
      </w:r>
      <w:r>
        <w:rPr>
          <w:spacing w:val="-5"/>
          <w:w w:val="105"/>
          <w:sz w:val="22"/>
        </w:rPr>
        <w:t> </w:t>
      </w:r>
      <w:r>
        <w:rPr>
          <w:w w:val="105"/>
          <w:sz w:val="22"/>
        </w:rPr>
        <w:t>V.1)</w:t>
      </w:r>
    </w:p>
    <w:p>
      <w:pPr>
        <w:pStyle w:val="BodyText"/>
        <w:spacing w:before="1"/>
        <w:rPr>
          <w:sz w:val="24"/>
        </w:rPr>
      </w:pPr>
    </w:p>
    <w:p>
      <w:pPr>
        <w:pStyle w:val="ListParagraph"/>
        <w:numPr>
          <w:ilvl w:val="2"/>
          <w:numId w:val="2"/>
        </w:numPr>
        <w:tabs>
          <w:tab w:pos="1598" w:val="left" w:leader="none"/>
        </w:tabs>
        <w:spacing w:line="256" w:lineRule="auto" w:before="0" w:after="0"/>
        <w:ind w:left="1602" w:right="210" w:hanging="361"/>
        <w:jc w:val="both"/>
        <w:rPr>
          <w:sz w:val="22"/>
        </w:rPr>
      </w:pPr>
      <w:r>
        <w:rPr>
          <w:w w:val="105"/>
          <w:sz w:val="22"/>
        </w:rPr>
        <w:t>This provision shall not prohibit collection of any applicable copayments or other</w:t>
      </w:r>
      <w:r>
        <w:rPr>
          <w:spacing w:val="-14"/>
          <w:w w:val="105"/>
          <w:sz w:val="22"/>
        </w:rPr>
        <w:t> </w:t>
      </w:r>
      <w:r>
        <w:rPr>
          <w:w w:val="105"/>
          <w:sz w:val="22"/>
        </w:rPr>
        <w:t>amounts</w:t>
      </w:r>
      <w:r>
        <w:rPr>
          <w:spacing w:val="-19"/>
          <w:w w:val="105"/>
          <w:sz w:val="22"/>
        </w:rPr>
        <w:t> </w:t>
      </w:r>
      <w:r>
        <w:rPr>
          <w:w w:val="105"/>
          <w:sz w:val="22"/>
        </w:rPr>
        <w:t>that</w:t>
      </w:r>
      <w:r>
        <w:rPr>
          <w:spacing w:val="-17"/>
          <w:w w:val="105"/>
          <w:sz w:val="22"/>
        </w:rPr>
        <w:t> </w:t>
      </w:r>
      <w:r>
        <w:rPr>
          <w:w w:val="105"/>
          <w:sz w:val="22"/>
        </w:rPr>
        <w:t>are</w:t>
      </w:r>
      <w:r>
        <w:rPr>
          <w:spacing w:val="-21"/>
          <w:w w:val="105"/>
          <w:sz w:val="22"/>
        </w:rPr>
        <w:t> </w:t>
      </w:r>
      <w:r>
        <w:rPr>
          <w:w w:val="105"/>
          <w:sz w:val="22"/>
        </w:rPr>
        <w:t>the</w:t>
      </w:r>
      <w:r>
        <w:rPr>
          <w:spacing w:val="-21"/>
          <w:w w:val="105"/>
          <w:sz w:val="22"/>
        </w:rPr>
        <w:t> </w:t>
      </w:r>
      <w:r>
        <w:rPr>
          <w:w w:val="105"/>
          <w:sz w:val="22"/>
        </w:rPr>
        <w:t>Covered</w:t>
      </w:r>
      <w:r>
        <w:rPr>
          <w:spacing w:val="-12"/>
          <w:w w:val="105"/>
          <w:sz w:val="22"/>
        </w:rPr>
        <w:t> </w:t>
      </w:r>
      <w:r>
        <w:rPr>
          <w:w w:val="105"/>
          <w:sz w:val="22"/>
        </w:rPr>
        <w:t>Person's</w:t>
      </w:r>
      <w:r>
        <w:rPr>
          <w:spacing w:val="-15"/>
          <w:w w:val="105"/>
          <w:sz w:val="22"/>
        </w:rPr>
        <w:t> </w:t>
      </w:r>
      <w:r>
        <w:rPr>
          <w:w w:val="105"/>
          <w:sz w:val="22"/>
        </w:rPr>
        <w:t>financial</w:t>
      </w:r>
      <w:r>
        <w:rPr>
          <w:spacing w:val="-11"/>
          <w:w w:val="105"/>
          <w:sz w:val="22"/>
        </w:rPr>
        <w:t> </w:t>
      </w:r>
      <w:r>
        <w:rPr>
          <w:w w:val="105"/>
          <w:sz w:val="22"/>
        </w:rPr>
        <w:t>responsibility.</w:t>
      </w:r>
      <w:r>
        <w:rPr>
          <w:spacing w:val="-27"/>
          <w:w w:val="105"/>
          <w:sz w:val="22"/>
        </w:rPr>
        <w:t> </w:t>
      </w:r>
      <w:r>
        <w:rPr>
          <w:w w:val="105"/>
          <w:sz w:val="22"/>
        </w:rPr>
        <w:t>(Art.</w:t>
      </w:r>
      <w:r>
        <w:rPr>
          <w:spacing w:val="-19"/>
          <w:w w:val="105"/>
          <w:sz w:val="22"/>
        </w:rPr>
        <w:t> </w:t>
      </w:r>
      <w:r>
        <w:rPr>
          <w:w w:val="105"/>
          <w:sz w:val="22"/>
        </w:rPr>
        <w:t>V.4)</w:t>
      </w:r>
    </w:p>
    <w:p>
      <w:pPr>
        <w:pStyle w:val="BodyText"/>
        <w:spacing w:before="3"/>
        <w:rPr>
          <w:sz w:val="24"/>
        </w:rPr>
      </w:pPr>
    </w:p>
    <w:p>
      <w:pPr>
        <w:pStyle w:val="ListParagraph"/>
        <w:numPr>
          <w:ilvl w:val="2"/>
          <w:numId w:val="2"/>
        </w:numPr>
        <w:tabs>
          <w:tab w:pos="1600" w:val="left" w:leader="none"/>
        </w:tabs>
        <w:spacing w:line="256" w:lineRule="auto" w:before="1" w:after="0"/>
        <w:ind w:left="1599" w:right="250" w:hanging="360"/>
        <w:jc w:val="both"/>
        <w:rPr>
          <w:sz w:val="22"/>
        </w:rPr>
      </w:pPr>
      <w:r>
        <w:rPr>
          <w:w w:val="105"/>
          <w:sz w:val="22"/>
        </w:rPr>
        <w:t>Appeal</w:t>
      </w:r>
      <w:r>
        <w:rPr>
          <w:spacing w:val="-12"/>
          <w:w w:val="105"/>
          <w:sz w:val="22"/>
        </w:rPr>
        <w:t> </w:t>
      </w:r>
      <w:r>
        <w:rPr>
          <w:w w:val="105"/>
          <w:sz w:val="22"/>
        </w:rPr>
        <w:t>Process</w:t>
      </w:r>
      <w:r>
        <w:rPr>
          <w:spacing w:val="7"/>
          <w:w w:val="105"/>
          <w:sz w:val="22"/>
        </w:rPr>
        <w:t> </w:t>
      </w:r>
      <w:r>
        <w:rPr>
          <w:w w:val="105"/>
          <w:sz w:val="22"/>
        </w:rPr>
        <w:t>-</w:t>
      </w:r>
      <w:r>
        <w:rPr>
          <w:spacing w:val="14"/>
          <w:w w:val="105"/>
          <w:sz w:val="22"/>
        </w:rPr>
        <w:t> </w:t>
      </w:r>
      <w:r>
        <w:rPr>
          <w:w w:val="105"/>
          <w:sz w:val="22"/>
        </w:rPr>
        <w:t>see</w:t>
      </w:r>
      <w:r>
        <w:rPr>
          <w:spacing w:val="-14"/>
          <w:w w:val="105"/>
          <w:sz w:val="22"/>
        </w:rPr>
        <w:t> </w:t>
      </w:r>
      <w:r>
        <w:rPr>
          <w:w w:val="105"/>
          <w:sz w:val="22"/>
        </w:rPr>
        <w:t>health</w:t>
      </w:r>
      <w:r>
        <w:rPr>
          <w:spacing w:val="-8"/>
          <w:w w:val="105"/>
          <w:sz w:val="22"/>
        </w:rPr>
        <w:t> </w:t>
      </w:r>
      <w:r>
        <w:rPr>
          <w:w w:val="105"/>
          <w:sz w:val="22"/>
        </w:rPr>
        <w:t>care</w:t>
      </w:r>
      <w:r>
        <w:rPr>
          <w:spacing w:val="-13"/>
          <w:w w:val="105"/>
          <w:sz w:val="22"/>
        </w:rPr>
        <w:t> </w:t>
      </w:r>
      <w:r>
        <w:rPr>
          <w:w w:val="105"/>
          <w:sz w:val="22"/>
        </w:rPr>
        <w:t>provider</w:t>
      </w:r>
      <w:r>
        <w:rPr>
          <w:spacing w:val="-6"/>
          <w:w w:val="105"/>
          <w:sz w:val="22"/>
        </w:rPr>
        <w:t> </w:t>
      </w:r>
      <w:r>
        <w:rPr>
          <w:w w:val="105"/>
          <w:sz w:val="22"/>
        </w:rPr>
        <w:t>manual</w:t>
      </w:r>
      <w:r>
        <w:rPr>
          <w:spacing w:val="-7"/>
          <w:w w:val="105"/>
          <w:sz w:val="22"/>
        </w:rPr>
        <w:t> </w:t>
      </w:r>
      <w:r>
        <w:rPr>
          <w:w w:val="105"/>
          <w:sz w:val="22"/>
        </w:rPr>
        <w:t>and</w:t>
      </w:r>
      <w:r>
        <w:rPr>
          <w:spacing w:val="-18"/>
          <w:w w:val="105"/>
          <w:sz w:val="22"/>
        </w:rPr>
        <w:t> </w:t>
      </w:r>
      <w:r>
        <w:rPr>
          <w:w w:val="105"/>
          <w:sz w:val="22"/>
        </w:rPr>
        <w:t>will</w:t>
      </w:r>
      <w:r>
        <w:rPr>
          <w:spacing w:val="-19"/>
          <w:w w:val="105"/>
          <w:sz w:val="22"/>
        </w:rPr>
        <w:t> </w:t>
      </w:r>
      <w:r>
        <w:rPr>
          <w:w w:val="105"/>
          <w:sz w:val="22"/>
        </w:rPr>
        <w:t>be</w:t>
      </w:r>
      <w:r>
        <w:rPr>
          <w:spacing w:val="-19"/>
          <w:w w:val="105"/>
          <w:sz w:val="22"/>
        </w:rPr>
        <w:t> </w:t>
      </w:r>
      <w:r>
        <w:rPr>
          <w:w w:val="105"/>
          <w:sz w:val="22"/>
        </w:rPr>
        <w:t>consistent</w:t>
      </w:r>
      <w:r>
        <w:rPr>
          <w:spacing w:val="-8"/>
          <w:w w:val="105"/>
          <w:sz w:val="22"/>
        </w:rPr>
        <w:t> </w:t>
      </w:r>
      <w:r>
        <w:rPr>
          <w:w w:val="105"/>
          <w:sz w:val="22"/>
        </w:rPr>
        <w:t>with applicable</w:t>
      </w:r>
      <w:r>
        <w:rPr>
          <w:spacing w:val="2"/>
          <w:w w:val="105"/>
          <w:sz w:val="22"/>
        </w:rPr>
        <w:t> </w:t>
      </w:r>
      <w:r>
        <w:rPr>
          <w:w w:val="105"/>
          <w:sz w:val="22"/>
        </w:rPr>
        <w:t>law</w:t>
      </w:r>
    </w:p>
    <w:p>
      <w:pPr>
        <w:spacing w:after="0" w:line="256" w:lineRule="auto"/>
        <w:jc w:val="both"/>
        <w:rPr>
          <w:sz w:val="22"/>
        </w:rPr>
        <w:sectPr>
          <w:pgSz w:w="12260" w:h="15840"/>
          <w:pgMar w:top="1500" w:bottom="280" w:left="1160" w:right="1460"/>
        </w:sectPr>
      </w:pPr>
    </w:p>
    <w:p>
      <w:pPr>
        <w:pStyle w:val="ListParagraph"/>
        <w:numPr>
          <w:ilvl w:val="2"/>
          <w:numId w:val="2"/>
        </w:numPr>
        <w:tabs>
          <w:tab w:pos="1548" w:val="left" w:leader="none"/>
        </w:tabs>
        <w:spacing w:line="240" w:lineRule="auto" w:before="71" w:after="0"/>
        <w:ind w:left="1547" w:right="0" w:hanging="354"/>
        <w:jc w:val="left"/>
        <w:rPr>
          <w:sz w:val="22"/>
        </w:rPr>
      </w:pPr>
      <w:r>
        <w:rPr>
          <w:sz w:val="22"/>
        </w:rPr>
        <w:t>Recoupment Policy</w:t>
      </w:r>
      <w:r>
        <w:rPr>
          <w:spacing w:val="-21"/>
          <w:sz w:val="22"/>
        </w:rPr>
        <w:t> </w:t>
      </w:r>
      <w:r>
        <w:rPr>
          <w:sz w:val="22"/>
        </w:rPr>
        <w:t>-</w:t>
      </w:r>
    </w:p>
    <w:p>
      <w:pPr>
        <w:pStyle w:val="BodyText"/>
        <w:spacing w:before="2"/>
        <w:rPr>
          <w:sz w:val="26"/>
        </w:rPr>
      </w:pPr>
    </w:p>
    <w:p>
      <w:pPr>
        <w:pStyle w:val="BodyText"/>
        <w:spacing w:line="259" w:lineRule="auto"/>
        <w:ind w:left="1552" w:right="136" w:hanging="5"/>
        <w:jc w:val="both"/>
      </w:pPr>
      <w:r>
        <w:rPr/>
        <w:drawing>
          <wp:anchor distT="0" distB="0" distL="0" distR="0" allowOverlap="1" layoutInCell="1" locked="0" behindDoc="1" simplePos="0" relativeHeight="251456512">
            <wp:simplePos x="0" y="0"/>
            <wp:positionH relativeFrom="page">
              <wp:posOffset>833432</wp:posOffset>
            </wp:positionH>
            <wp:positionV relativeFrom="paragraph">
              <wp:posOffset>821628</wp:posOffset>
            </wp:positionV>
            <wp:extent cx="5830810" cy="5650788"/>
            <wp:effectExtent l="0" t="0" r="0" b="0"/>
            <wp:wrapNone/>
            <wp:docPr id="5" name="image3.png"/>
            <wp:cNvGraphicFramePr>
              <a:graphicFrameLocks noChangeAspect="1"/>
            </wp:cNvGraphicFramePr>
            <a:graphic>
              <a:graphicData uri="http://schemas.openxmlformats.org/drawingml/2006/picture">
                <pic:pic>
                  <pic:nvPicPr>
                    <pic:cNvPr id="6" name="image3.png"/>
                    <pic:cNvPicPr/>
                  </pic:nvPicPr>
                  <pic:blipFill>
                    <a:blip r:embed="rId8" cstate="print"/>
                    <a:stretch>
                      <a:fillRect/>
                    </a:stretch>
                  </pic:blipFill>
                  <pic:spPr>
                    <a:xfrm>
                      <a:off x="0" y="0"/>
                      <a:ext cx="5830810" cy="5650788"/>
                    </a:xfrm>
                    <a:prstGeom prst="rect">
                      <a:avLst/>
                    </a:prstGeom>
                  </pic:spPr>
                </pic:pic>
              </a:graphicData>
            </a:graphic>
          </wp:anchor>
        </w:drawing>
      </w:r>
      <w:r>
        <w:rPr>
          <w:w w:val="105"/>
        </w:rPr>
        <w:t>Payor</w:t>
      </w:r>
      <w:r>
        <w:rPr>
          <w:spacing w:val="-10"/>
          <w:w w:val="105"/>
        </w:rPr>
        <w:t> </w:t>
      </w:r>
      <w:r>
        <w:rPr>
          <w:w w:val="105"/>
        </w:rPr>
        <w:t>will</w:t>
      </w:r>
      <w:r>
        <w:rPr>
          <w:spacing w:val="-8"/>
          <w:w w:val="105"/>
        </w:rPr>
        <w:t> </w:t>
      </w:r>
      <w:r>
        <w:rPr>
          <w:w w:val="105"/>
        </w:rPr>
        <w:t>provide</w:t>
      </w:r>
      <w:r>
        <w:rPr>
          <w:spacing w:val="-8"/>
          <w:w w:val="105"/>
        </w:rPr>
        <w:t> </w:t>
      </w:r>
      <w:r>
        <w:rPr>
          <w:w w:val="105"/>
        </w:rPr>
        <w:t>written</w:t>
      </w:r>
      <w:r>
        <w:rPr>
          <w:spacing w:val="-9"/>
          <w:w w:val="105"/>
        </w:rPr>
        <w:t> </w:t>
      </w:r>
      <w:r>
        <w:rPr>
          <w:w w:val="105"/>
        </w:rPr>
        <w:t>or</w:t>
      </w:r>
      <w:r>
        <w:rPr>
          <w:spacing w:val="-9"/>
          <w:w w:val="105"/>
        </w:rPr>
        <w:t> </w:t>
      </w:r>
      <w:r>
        <w:rPr>
          <w:w w:val="105"/>
        </w:rPr>
        <w:t>electronic</w:t>
      </w:r>
      <w:r>
        <w:rPr>
          <w:spacing w:val="-7"/>
          <w:w w:val="105"/>
        </w:rPr>
        <w:t> </w:t>
      </w:r>
      <w:r>
        <w:rPr>
          <w:w w:val="105"/>
        </w:rPr>
        <w:t>notice</w:t>
      </w:r>
      <w:r>
        <w:rPr>
          <w:spacing w:val="-9"/>
          <w:w w:val="105"/>
        </w:rPr>
        <w:t> </w:t>
      </w:r>
      <w:r>
        <w:rPr>
          <w:w w:val="105"/>
        </w:rPr>
        <w:t>to</w:t>
      </w:r>
      <w:r>
        <w:rPr>
          <w:spacing w:val="-10"/>
          <w:w w:val="105"/>
        </w:rPr>
        <w:t> </w:t>
      </w:r>
      <w:r>
        <w:rPr>
          <w:w w:val="105"/>
        </w:rPr>
        <w:t>Provider</w:t>
      </w:r>
      <w:r>
        <w:rPr>
          <w:spacing w:val="-9"/>
          <w:w w:val="105"/>
        </w:rPr>
        <w:t> </w:t>
      </w:r>
      <w:r>
        <w:rPr>
          <w:w w:val="105"/>
        </w:rPr>
        <w:t>before</w:t>
      </w:r>
      <w:r>
        <w:rPr>
          <w:spacing w:val="-8"/>
          <w:w w:val="105"/>
        </w:rPr>
        <w:t> </w:t>
      </w:r>
      <w:r>
        <w:rPr>
          <w:w w:val="105"/>
        </w:rPr>
        <w:t>using</w:t>
      </w:r>
      <w:r>
        <w:rPr>
          <w:spacing w:val="-11"/>
          <w:w w:val="105"/>
        </w:rPr>
        <w:t> </w:t>
      </w:r>
      <w:r>
        <w:rPr>
          <w:w w:val="105"/>
        </w:rPr>
        <w:t>an</w:t>
      </w:r>
      <w:r>
        <w:rPr>
          <w:spacing w:val="-8"/>
          <w:w w:val="105"/>
        </w:rPr>
        <w:t> </w:t>
      </w:r>
      <w:r>
        <w:rPr>
          <w:w w:val="105"/>
        </w:rPr>
        <w:t>offset as a means to recover an overpayment or payment made in error, and will not implement the offset or other recoupment action if, within thirty (30) days after the</w:t>
      </w:r>
      <w:r>
        <w:rPr>
          <w:spacing w:val="-14"/>
          <w:w w:val="105"/>
        </w:rPr>
        <w:t> </w:t>
      </w:r>
      <w:r>
        <w:rPr>
          <w:w w:val="105"/>
        </w:rPr>
        <w:t>date</w:t>
      </w:r>
      <w:r>
        <w:rPr>
          <w:spacing w:val="-13"/>
          <w:w w:val="105"/>
        </w:rPr>
        <w:t> </w:t>
      </w:r>
      <w:r>
        <w:rPr>
          <w:w w:val="105"/>
        </w:rPr>
        <w:t>of</w:t>
      </w:r>
      <w:r>
        <w:rPr>
          <w:spacing w:val="-13"/>
          <w:w w:val="105"/>
        </w:rPr>
        <w:t> </w:t>
      </w:r>
      <w:r>
        <w:rPr>
          <w:w w:val="105"/>
        </w:rPr>
        <w:t>the</w:t>
      </w:r>
      <w:r>
        <w:rPr>
          <w:spacing w:val="-13"/>
          <w:w w:val="105"/>
        </w:rPr>
        <w:t> </w:t>
      </w:r>
      <w:r>
        <w:rPr>
          <w:w w:val="105"/>
        </w:rPr>
        <w:t>notice,</w:t>
      </w:r>
      <w:r>
        <w:rPr>
          <w:spacing w:val="-11"/>
          <w:w w:val="105"/>
        </w:rPr>
        <w:t> </w:t>
      </w:r>
      <w:r>
        <w:rPr>
          <w:w w:val="105"/>
        </w:rPr>
        <w:t>IPA</w:t>
      </w:r>
      <w:r>
        <w:rPr>
          <w:spacing w:val="-12"/>
          <w:w w:val="105"/>
        </w:rPr>
        <w:t> </w:t>
      </w:r>
      <w:r>
        <w:rPr>
          <w:w w:val="105"/>
        </w:rPr>
        <w:t>Provider</w:t>
      </w:r>
      <w:r>
        <w:rPr>
          <w:spacing w:val="-13"/>
          <w:w w:val="105"/>
        </w:rPr>
        <w:t> </w:t>
      </w:r>
      <w:r>
        <w:rPr>
          <w:w w:val="105"/>
        </w:rPr>
        <w:t>refunds</w:t>
      </w:r>
      <w:r>
        <w:rPr>
          <w:spacing w:val="-12"/>
          <w:w w:val="105"/>
        </w:rPr>
        <w:t> </w:t>
      </w:r>
      <w:r>
        <w:rPr>
          <w:w w:val="105"/>
        </w:rPr>
        <w:t>the</w:t>
      </w:r>
      <w:r>
        <w:rPr>
          <w:spacing w:val="-11"/>
          <w:w w:val="105"/>
        </w:rPr>
        <w:t> </w:t>
      </w:r>
      <w:r>
        <w:rPr>
          <w:w w:val="105"/>
        </w:rPr>
        <w:t>overpayment</w:t>
      </w:r>
      <w:r>
        <w:rPr>
          <w:spacing w:val="-13"/>
          <w:w w:val="105"/>
        </w:rPr>
        <w:t> </w:t>
      </w:r>
      <w:r>
        <w:rPr>
          <w:w w:val="105"/>
        </w:rPr>
        <w:t>or</w:t>
      </w:r>
      <w:r>
        <w:rPr>
          <w:spacing w:val="-14"/>
          <w:w w:val="105"/>
        </w:rPr>
        <w:t> </w:t>
      </w:r>
      <w:r>
        <w:rPr>
          <w:w w:val="105"/>
        </w:rPr>
        <w:t>payment</w:t>
      </w:r>
      <w:r>
        <w:rPr>
          <w:spacing w:val="-13"/>
          <w:w w:val="105"/>
        </w:rPr>
        <w:t> </w:t>
      </w:r>
      <w:r>
        <w:rPr>
          <w:w w:val="105"/>
        </w:rPr>
        <w:t>made in</w:t>
      </w:r>
      <w:r>
        <w:rPr>
          <w:spacing w:val="-6"/>
          <w:w w:val="105"/>
        </w:rPr>
        <w:t> </w:t>
      </w:r>
      <w:r>
        <w:rPr>
          <w:w w:val="105"/>
        </w:rPr>
        <w:t>error,</w:t>
      </w:r>
      <w:r>
        <w:rPr>
          <w:spacing w:val="-6"/>
          <w:w w:val="105"/>
        </w:rPr>
        <w:t> </w:t>
      </w:r>
      <w:r>
        <w:rPr>
          <w:w w:val="105"/>
        </w:rPr>
        <w:t>or</w:t>
      </w:r>
      <w:r>
        <w:rPr>
          <w:spacing w:val="-6"/>
          <w:w w:val="105"/>
        </w:rPr>
        <w:t> </w:t>
      </w:r>
      <w:r>
        <w:rPr>
          <w:w w:val="105"/>
        </w:rPr>
        <w:t>initiates</w:t>
      </w:r>
      <w:r>
        <w:rPr>
          <w:spacing w:val="-5"/>
          <w:w w:val="105"/>
        </w:rPr>
        <w:t> </w:t>
      </w:r>
      <w:r>
        <w:rPr>
          <w:w w:val="105"/>
        </w:rPr>
        <w:t>an</w:t>
      </w:r>
      <w:r>
        <w:rPr>
          <w:spacing w:val="-5"/>
          <w:w w:val="105"/>
        </w:rPr>
        <w:t> </w:t>
      </w:r>
      <w:r>
        <w:rPr>
          <w:w w:val="105"/>
        </w:rPr>
        <w:t>appeal.</w:t>
      </w:r>
      <w:r>
        <w:rPr>
          <w:spacing w:val="-6"/>
          <w:w w:val="105"/>
        </w:rPr>
        <w:t> </w:t>
      </w:r>
      <w:r>
        <w:rPr>
          <w:w w:val="105"/>
        </w:rPr>
        <w:t>The</w:t>
      </w:r>
      <w:r>
        <w:rPr>
          <w:spacing w:val="-7"/>
          <w:w w:val="105"/>
        </w:rPr>
        <w:t> </w:t>
      </w:r>
      <w:r>
        <w:rPr>
          <w:w w:val="105"/>
        </w:rPr>
        <w:t>written</w:t>
      </w:r>
      <w:r>
        <w:rPr>
          <w:spacing w:val="-6"/>
          <w:w w:val="105"/>
        </w:rPr>
        <w:t> </w:t>
      </w:r>
      <w:r>
        <w:rPr>
          <w:w w:val="105"/>
        </w:rPr>
        <w:t>or</w:t>
      </w:r>
      <w:r>
        <w:rPr>
          <w:spacing w:val="-6"/>
          <w:w w:val="105"/>
        </w:rPr>
        <w:t> </w:t>
      </w:r>
      <w:r>
        <w:rPr>
          <w:w w:val="105"/>
        </w:rPr>
        <w:t>electronic</w:t>
      </w:r>
      <w:r>
        <w:rPr>
          <w:spacing w:val="-5"/>
          <w:w w:val="105"/>
        </w:rPr>
        <w:t> </w:t>
      </w:r>
      <w:r>
        <w:rPr>
          <w:w w:val="105"/>
        </w:rPr>
        <w:t>notice</w:t>
      </w:r>
      <w:r>
        <w:rPr>
          <w:spacing w:val="-6"/>
          <w:w w:val="105"/>
        </w:rPr>
        <w:t> </w:t>
      </w:r>
      <w:r>
        <w:rPr>
          <w:w w:val="105"/>
        </w:rPr>
        <w:t>shall</w:t>
      </w:r>
      <w:r>
        <w:rPr>
          <w:spacing w:val="-4"/>
          <w:w w:val="105"/>
        </w:rPr>
        <w:t> </w:t>
      </w:r>
      <w:r>
        <w:rPr>
          <w:w w:val="105"/>
        </w:rPr>
        <w:t>explain</w:t>
      </w:r>
      <w:r>
        <w:rPr>
          <w:spacing w:val="-6"/>
          <w:w w:val="105"/>
        </w:rPr>
        <w:t> </w:t>
      </w:r>
      <w:r>
        <w:rPr>
          <w:spacing w:val="-2"/>
          <w:w w:val="105"/>
        </w:rPr>
        <w:t>the </w:t>
      </w:r>
      <w:r>
        <w:rPr>
          <w:w w:val="105"/>
        </w:rPr>
        <w:t>reason</w:t>
      </w:r>
      <w:r>
        <w:rPr>
          <w:spacing w:val="-3"/>
          <w:w w:val="105"/>
        </w:rPr>
        <w:t> </w:t>
      </w:r>
      <w:r>
        <w:rPr>
          <w:w w:val="105"/>
        </w:rPr>
        <w:t>and</w:t>
      </w:r>
      <w:r>
        <w:rPr>
          <w:spacing w:val="-8"/>
          <w:w w:val="105"/>
        </w:rPr>
        <w:t> </w:t>
      </w:r>
      <w:r>
        <w:rPr>
          <w:w w:val="105"/>
        </w:rPr>
        <w:t>calculation</w:t>
      </w:r>
      <w:r>
        <w:rPr>
          <w:spacing w:val="-6"/>
          <w:w w:val="105"/>
        </w:rPr>
        <w:t> </w:t>
      </w:r>
      <w:r>
        <w:rPr>
          <w:w w:val="105"/>
        </w:rPr>
        <w:t>of</w:t>
      </w:r>
      <w:r>
        <w:rPr>
          <w:spacing w:val="-3"/>
          <w:w w:val="105"/>
        </w:rPr>
        <w:t> </w:t>
      </w:r>
      <w:r>
        <w:rPr>
          <w:w w:val="105"/>
        </w:rPr>
        <w:t>the</w:t>
      </w:r>
      <w:r>
        <w:rPr>
          <w:spacing w:val="-6"/>
          <w:w w:val="105"/>
        </w:rPr>
        <w:t> </w:t>
      </w:r>
      <w:r>
        <w:rPr>
          <w:w w:val="105"/>
        </w:rPr>
        <w:t>overpayment</w:t>
      </w:r>
      <w:r>
        <w:rPr>
          <w:spacing w:val="-6"/>
          <w:w w:val="105"/>
        </w:rPr>
        <w:t> </w:t>
      </w:r>
      <w:r>
        <w:rPr>
          <w:w w:val="105"/>
        </w:rPr>
        <w:t>or</w:t>
      </w:r>
      <w:r>
        <w:rPr>
          <w:spacing w:val="-6"/>
          <w:w w:val="105"/>
        </w:rPr>
        <w:t> </w:t>
      </w:r>
      <w:r>
        <w:rPr>
          <w:w w:val="105"/>
        </w:rPr>
        <w:t>payment</w:t>
      </w:r>
      <w:r>
        <w:rPr>
          <w:spacing w:val="-9"/>
          <w:w w:val="105"/>
        </w:rPr>
        <w:t> </w:t>
      </w:r>
      <w:r>
        <w:rPr>
          <w:w w:val="105"/>
        </w:rPr>
        <w:t>made</w:t>
      </w:r>
      <w:r>
        <w:rPr>
          <w:spacing w:val="-7"/>
          <w:w w:val="105"/>
        </w:rPr>
        <w:t> </w:t>
      </w:r>
      <w:r>
        <w:rPr>
          <w:w w:val="105"/>
        </w:rPr>
        <w:t>in</w:t>
      </w:r>
      <w:r>
        <w:rPr>
          <w:spacing w:val="-5"/>
          <w:w w:val="105"/>
        </w:rPr>
        <w:t> </w:t>
      </w:r>
      <w:r>
        <w:rPr>
          <w:w w:val="105"/>
        </w:rPr>
        <w:t>error.</w:t>
      </w:r>
      <w:r>
        <w:rPr>
          <w:spacing w:val="-6"/>
          <w:w w:val="105"/>
        </w:rPr>
        <w:t> </w:t>
      </w:r>
      <w:r>
        <w:rPr>
          <w:w w:val="105"/>
        </w:rPr>
        <w:t>Appeals shall be made pursuant to procedures outlined in the Provider Manual, provided</w:t>
      </w:r>
      <w:r>
        <w:rPr>
          <w:spacing w:val="-3"/>
          <w:w w:val="105"/>
        </w:rPr>
        <w:t> </w:t>
      </w:r>
      <w:r>
        <w:rPr>
          <w:w w:val="105"/>
        </w:rPr>
        <w:t>that</w:t>
      </w:r>
      <w:r>
        <w:rPr>
          <w:spacing w:val="-6"/>
          <w:w w:val="105"/>
        </w:rPr>
        <w:t> </w:t>
      </w:r>
      <w:r>
        <w:rPr>
          <w:w w:val="105"/>
        </w:rPr>
        <w:t>no</w:t>
      </w:r>
      <w:r>
        <w:rPr>
          <w:spacing w:val="-6"/>
          <w:w w:val="105"/>
        </w:rPr>
        <w:t> </w:t>
      </w:r>
      <w:r>
        <w:rPr>
          <w:w w:val="105"/>
        </w:rPr>
        <w:t>appeal</w:t>
      </w:r>
      <w:r>
        <w:rPr>
          <w:spacing w:val="-5"/>
          <w:w w:val="105"/>
        </w:rPr>
        <w:t> </w:t>
      </w:r>
      <w:r>
        <w:rPr>
          <w:w w:val="105"/>
        </w:rPr>
        <w:t>shall</w:t>
      </w:r>
      <w:r>
        <w:rPr>
          <w:spacing w:val="-4"/>
          <w:w w:val="105"/>
        </w:rPr>
        <w:t> </w:t>
      </w:r>
      <w:r>
        <w:rPr>
          <w:w w:val="105"/>
        </w:rPr>
        <w:t>be</w:t>
      </w:r>
      <w:r>
        <w:rPr>
          <w:spacing w:val="-3"/>
          <w:w w:val="105"/>
        </w:rPr>
        <w:t> </w:t>
      </w:r>
      <w:r>
        <w:rPr>
          <w:w w:val="105"/>
        </w:rPr>
        <w:t>rejected</w:t>
      </w:r>
      <w:r>
        <w:rPr>
          <w:spacing w:val="-6"/>
          <w:w w:val="105"/>
        </w:rPr>
        <w:t> </w:t>
      </w:r>
      <w:r>
        <w:rPr>
          <w:w w:val="105"/>
        </w:rPr>
        <w:t>solely</w:t>
      </w:r>
      <w:r>
        <w:rPr>
          <w:spacing w:val="-7"/>
          <w:w w:val="105"/>
        </w:rPr>
        <w:t> </w:t>
      </w:r>
      <w:r>
        <w:rPr>
          <w:w w:val="105"/>
        </w:rPr>
        <w:t>on</w:t>
      </w:r>
      <w:r>
        <w:rPr>
          <w:spacing w:val="-5"/>
          <w:w w:val="105"/>
        </w:rPr>
        <w:t> </w:t>
      </w:r>
      <w:r>
        <w:rPr>
          <w:w w:val="105"/>
        </w:rPr>
        <w:t>the</w:t>
      </w:r>
      <w:r>
        <w:rPr>
          <w:spacing w:val="-3"/>
          <w:w w:val="105"/>
        </w:rPr>
        <w:t> </w:t>
      </w:r>
      <w:r>
        <w:rPr>
          <w:w w:val="105"/>
        </w:rPr>
        <w:t>basis</w:t>
      </w:r>
      <w:r>
        <w:rPr>
          <w:spacing w:val="-5"/>
          <w:w w:val="105"/>
        </w:rPr>
        <w:t> </w:t>
      </w:r>
      <w:r>
        <w:rPr>
          <w:w w:val="105"/>
        </w:rPr>
        <w:t>that</w:t>
      </w:r>
      <w:r>
        <w:rPr>
          <w:spacing w:val="-6"/>
          <w:w w:val="105"/>
        </w:rPr>
        <w:t> </w:t>
      </w:r>
      <w:r>
        <w:rPr>
          <w:w w:val="105"/>
        </w:rPr>
        <w:t>it</w:t>
      </w:r>
      <w:r>
        <w:rPr>
          <w:spacing w:val="-6"/>
          <w:w w:val="105"/>
        </w:rPr>
        <w:t> </w:t>
      </w:r>
      <w:r>
        <w:rPr>
          <w:w w:val="105"/>
        </w:rPr>
        <w:t>was</w:t>
      </w:r>
      <w:r>
        <w:rPr>
          <w:spacing w:val="-4"/>
          <w:w w:val="105"/>
        </w:rPr>
        <w:t> </w:t>
      </w:r>
      <w:r>
        <w:rPr>
          <w:w w:val="105"/>
        </w:rPr>
        <w:t>not</w:t>
      </w:r>
      <w:r>
        <w:rPr>
          <w:spacing w:val="-9"/>
          <w:w w:val="105"/>
        </w:rPr>
        <w:t> </w:t>
      </w:r>
      <w:r>
        <w:rPr>
          <w:w w:val="105"/>
        </w:rPr>
        <w:t>set forth in a Claim Appeal Form included in the Provider</w:t>
      </w:r>
      <w:r>
        <w:rPr>
          <w:spacing w:val="-17"/>
          <w:w w:val="105"/>
        </w:rPr>
        <w:t> </w:t>
      </w:r>
      <w:r>
        <w:rPr>
          <w:w w:val="105"/>
        </w:rPr>
        <w:t>Manual.</w:t>
      </w:r>
    </w:p>
    <w:p>
      <w:pPr>
        <w:pStyle w:val="BodyText"/>
        <w:spacing w:before="10"/>
        <w:rPr>
          <w:sz w:val="23"/>
        </w:rPr>
      </w:pPr>
    </w:p>
    <w:p>
      <w:pPr>
        <w:pStyle w:val="BodyText"/>
        <w:spacing w:line="256" w:lineRule="auto" w:before="1"/>
        <w:ind w:left="1554" w:right="130" w:hanging="7"/>
        <w:jc w:val="both"/>
      </w:pPr>
      <w:r>
        <w:rPr>
          <w:w w:val="105"/>
        </w:rPr>
        <w:t>Such recoupment by the Payor is limited to the twelve (12) months after the payment was initially made except in cases where the overpayment resulted from</w:t>
      </w:r>
      <w:r>
        <w:rPr>
          <w:spacing w:val="-10"/>
          <w:w w:val="105"/>
        </w:rPr>
        <w:t> </w:t>
      </w:r>
      <w:r>
        <w:rPr>
          <w:w w:val="105"/>
        </w:rPr>
        <w:t>fraud</w:t>
      </w:r>
      <w:r>
        <w:rPr>
          <w:spacing w:val="-2"/>
          <w:w w:val="105"/>
        </w:rPr>
        <w:t> </w:t>
      </w:r>
      <w:r>
        <w:rPr>
          <w:w w:val="105"/>
        </w:rPr>
        <w:t>or</w:t>
      </w:r>
      <w:r>
        <w:rPr>
          <w:spacing w:val="-12"/>
          <w:w w:val="105"/>
        </w:rPr>
        <w:t> </w:t>
      </w:r>
      <w:r>
        <w:rPr>
          <w:w w:val="105"/>
        </w:rPr>
        <w:t>abuse</w:t>
      </w:r>
      <w:r>
        <w:rPr>
          <w:spacing w:val="-5"/>
          <w:w w:val="105"/>
        </w:rPr>
        <w:t> </w:t>
      </w:r>
      <w:r>
        <w:rPr>
          <w:w w:val="105"/>
        </w:rPr>
        <w:t>by</w:t>
      </w:r>
      <w:r>
        <w:rPr>
          <w:spacing w:val="-11"/>
          <w:w w:val="105"/>
        </w:rPr>
        <w:t> </w:t>
      </w:r>
      <w:r>
        <w:rPr>
          <w:w w:val="105"/>
        </w:rPr>
        <w:t>or</w:t>
      </w:r>
      <w:r>
        <w:rPr>
          <w:spacing w:val="-9"/>
          <w:w w:val="105"/>
        </w:rPr>
        <w:t> </w:t>
      </w:r>
      <w:r>
        <w:rPr>
          <w:w w:val="105"/>
        </w:rPr>
        <w:t>on</w:t>
      </w:r>
      <w:r>
        <w:rPr>
          <w:spacing w:val="-5"/>
          <w:w w:val="105"/>
        </w:rPr>
        <w:t> </w:t>
      </w:r>
      <w:r>
        <w:rPr>
          <w:w w:val="105"/>
        </w:rPr>
        <w:t>behalf</w:t>
      </w:r>
      <w:r>
        <w:rPr>
          <w:spacing w:val="-3"/>
          <w:w w:val="105"/>
        </w:rPr>
        <w:t> </w:t>
      </w:r>
      <w:r>
        <w:rPr>
          <w:w w:val="105"/>
        </w:rPr>
        <w:t>of</w:t>
      </w:r>
      <w:r>
        <w:rPr>
          <w:spacing w:val="-11"/>
          <w:w w:val="105"/>
        </w:rPr>
        <w:t> </w:t>
      </w:r>
      <w:r>
        <w:rPr>
          <w:w w:val="105"/>
        </w:rPr>
        <w:t>IPA</w:t>
      </w:r>
      <w:r>
        <w:rPr>
          <w:spacing w:val="-14"/>
          <w:w w:val="105"/>
        </w:rPr>
        <w:t> </w:t>
      </w:r>
      <w:r>
        <w:rPr>
          <w:w w:val="105"/>
        </w:rPr>
        <w:t>Provider,</w:t>
      </w:r>
      <w:r>
        <w:rPr>
          <w:spacing w:val="7"/>
          <w:w w:val="105"/>
        </w:rPr>
        <w:t> </w:t>
      </w:r>
      <w:r>
        <w:rPr>
          <w:w w:val="105"/>
        </w:rPr>
        <w:t>or</w:t>
      </w:r>
      <w:r>
        <w:rPr>
          <w:spacing w:val="-5"/>
          <w:w w:val="105"/>
        </w:rPr>
        <w:t> </w:t>
      </w:r>
      <w:r>
        <w:rPr>
          <w:w w:val="105"/>
        </w:rPr>
        <w:t>when</w:t>
      </w:r>
      <w:r>
        <w:rPr>
          <w:spacing w:val="-5"/>
          <w:w w:val="105"/>
        </w:rPr>
        <w:t> </w:t>
      </w:r>
      <w:r>
        <w:rPr>
          <w:w w:val="105"/>
        </w:rPr>
        <w:t>ability</w:t>
      </w:r>
      <w:r>
        <w:rPr>
          <w:spacing w:val="-14"/>
          <w:w w:val="105"/>
        </w:rPr>
        <w:t> </w:t>
      </w:r>
      <w:r>
        <w:rPr>
          <w:w w:val="105"/>
        </w:rPr>
        <w:t>to</w:t>
      </w:r>
      <w:r>
        <w:rPr>
          <w:spacing w:val="5"/>
          <w:w w:val="105"/>
        </w:rPr>
        <w:t> </w:t>
      </w:r>
      <w:r>
        <w:rPr>
          <w:w w:val="105"/>
        </w:rPr>
        <w:t>discover the overpayment during the twelve (12) month period was hindered by IPA</w:t>
      </w:r>
      <w:r>
        <w:rPr>
          <w:spacing w:val="64"/>
          <w:w w:val="105"/>
        </w:rPr>
        <w:t> </w:t>
      </w:r>
      <w:r>
        <w:rPr>
          <w:w w:val="105"/>
        </w:rPr>
        <w:t>Provider's failure to provide full and timely cooperation with an audit by Payor. (Art.</w:t>
      </w:r>
      <w:r>
        <w:rPr>
          <w:spacing w:val="-10"/>
          <w:w w:val="105"/>
        </w:rPr>
        <w:t> </w:t>
      </w:r>
      <w:r>
        <w:rPr>
          <w:w w:val="105"/>
        </w:rPr>
        <w:t>V.5)</w:t>
      </w:r>
    </w:p>
    <w:p>
      <w:pPr>
        <w:pStyle w:val="BodyText"/>
        <w:rPr>
          <w:sz w:val="24"/>
        </w:rPr>
      </w:pPr>
    </w:p>
    <w:p>
      <w:pPr>
        <w:pStyle w:val="BodyText"/>
        <w:spacing w:before="7"/>
      </w:pPr>
    </w:p>
    <w:p>
      <w:pPr>
        <w:pStyle w:val="Heading1"/>
        <w:numPr>
          <w:ilvl w:val="0"/>
          <w:numId w:val="2"/>
        </w:numPr>
        <w:tabs>
          <w:tab w:pos="841" w:val="left" w:leader="none"/>
          <w:tab w:pos="842" w:val="left" w:leader="none"/>
        </w:tabs>
        <w:spacing w:line="240" w:lineRule="auto" w:before="0" w:after="0"/>
        <w:ind w:left="841" w:right="0" w:hanging="726"/>
        <w:jc w:val="left"/>
        <w:rPr>
          <w:u w:val="none"/>
        </w:rPr>
      </w:pPr>
      <w:bookmarkStart w:name="VI. Plan Administration" w:id="8"/>
      <w:bookmarkEnd w:id="8"/>
      <w:r>
        <w:rPr>
          <w:b w:val="0"/>
          <w:u w:val="none"/>
        </w:rPr>
      </w:r>
      <w:bookmarkStart w:name="VI. Plan Administration" w:id="9"/>
      <w:bookmarkEnd w:id="9"/>
      <w:r>
        <w:rPr>
          <w:u w:val="none"/>
        </w:rPr>
        <w:t>P</w:t>
      </w:r>
      <w:r>
        <w:rPr>
          <w:u w:val="none"/>
        </w:rPr>
        <w:t>lan</w:t>
      </w:r>
      <w:r>
        <w:rPr>
          <w:spacing w:val="-5"/>
          <w:u w:val="none"/>
        </w:rPr>
        <w:t> </w:t>
      </w:r>
      <w:r>
        <w:rPr>
          <w:u w:val="none"/>
        </w:rPr>
        <w:t>Administration</w:t>
      </w:r>
    </w:p>
    <w:p>
      <w:pPr>
        <w:pStyle w:val="BodyText"/>
        <w:spacing w:before="2"/>
        <w:rPr>
          <w:b/>
          <w:sz w:val="25"/>
        </w:rPr>
      </w:pPr>
    </w:p>
    <w:p>
      <w:pPr>
        <w:pStyle w:val="ListParagraph"/>
        <w:numPr>
          <w:ilvl w:val="1"/>
          <w:numId w:val="2"/>
        </w:numPr>
        <w:tabs>
          <w:tab w:pos="1204" w:val="left" w:leader="none"/>
        </w:tabs>
        <w:spacing w:line="240" w:lineRule="auto" w:before="0" w:after="0"/>
        <w:ind w:left="1204" w:right="0" w:hanging="360"/>
        <w:jc w:val="left"/>
        <w:rPr>
          <w:sz w:val="22"/>
        </w:rPr>
      </w:pPr>
      <w:r>
        <w:rPr>
          <w:w w:val="105"/>
          <w:sz w:val="22"/>
        </w:rPr>
        <w:t>Eligibility</w:t>
      </w:r>
      <w:r>
        <w:rPr>
          <w:spacing w:val="15"/>
          <w:w w:val="105"/>
          <w:sz w:val="22"/>
        </w:rPr>
        <w:t> </w:t>
      </w:r>
      <w:r>
        <w:rPr>
          <w:w w:val="105"/>
          <w:sz w:val="22"/>
        </w:rPr>
        <w:t>-</w:t>
      </w:r>
    </w:p>
    <w:p>
      <w:pPr>
        <w:pStyle w:val="BodyText"/>
        <w:spacing w:before="150"/>
        <w:ind w:left="1204"/>
      </w:pPr>
      <w:r>
        <w:rPr>
          <w:w w:val="105"/>
        </w:rPr>
        <w:t>Always verify eligibility prior to rendering of services.</w:t>
      </w:r>
    </w:p>
    <w:p>
      <w:pPr>
        <w:pStyle w:val="BodyText"/>
        <w:spacing w:before="11"/>
        <w:rPr>
          <w:sz w:val="24"/>
        </w:rPr>
      </w:pPr>
    </w:p>
    <w:p>
      <w:pPr>
        <w:pStyle w:val="ListParagraph"/>
        <w:numPr>
          <w:ilvl w:val="1"/>
          <w:numId w:val="2"/>
        </w:numPr>
        <w:tabs>
          <w:tab w:pos="1212" w:val="left" w:leader="none"/>
        </w:tabs>
        <w:spacing w:line="240" w:lineRule="auto" w:before="0" w:after="0"/>
        <w:ind w:left="1211" w:right="0" w:hanging="361"/>
        <w:jc w:val="left"/>
        <w:rPr>
          <w:sz w:val="22"/>
        </w:rPr>
      </w:pPr>
      <w:r>
        <w:rPr>
          <w:w w:val="105"/>
          <w:sz w:val="22"/>
        </w:rPr>
        <w:t>Nondiscrimination -</w:t>
      </w:r>
    </w:p>
    <w:p>
      <w:pPr>
        <w:pStyle w:val="BodyText"/>
        <w:spacing w:line="254" w:lineRule="auto" w:before="31"/>
        <w:ind w:left="1204" w:right="859"/>
      </w:pPr>
      <w:r>
        <w:rPr/>
        <w:t>IPA Provider recognizes that as a governmental contractor, HMO is subject to various federal laws, executive orders and regulations regarding equal opportunity and affirmative action, which also may be applicable to subcontractors. (Art. 111.15).</w:t>
      </w:r>
    </w:p>
    <w:p>
      <w:pPr>
        <w:pStyle w:val="BodyText"/>
        <w:spacing w:before="4"/>
        <w:rPr>
          <w:sz w:val="23"/>
        </w:rPr>
      </w:pPr>
    </w:p>
    <w:p>
      <w:pPr>
        <w:pStyle w:val="ListParagraph"/>
        <w:numPr>
          <w:ilvl w:val="1"/>
          <w:numId w:val="2"/>
        </w:numPr>
        <w:tabs>
          <w:tab w:pos="1212" w:val="left" w:leader="none"/>
        </w:tabs>
        <w:spacing w:line="259" w:lineRule="auto" w:before="0" w:after="0"/>
        <w:ind w:left="1210" w:right="179" w:hanging="362"/>
        <w:jc w:val="left"/>
        <w:rPr>
          <w:sz w:val="22"/>
        </w:rPr>
      </w:pPr>
      <w:r>
        <w:rPr>
          <w:w w:val="105"/>
          <w:sz w:val="22"/>
        </w:rPr>
        <w:t>Record Transfer - IPA Provider shall cooperate in the timely transfer of Covered Persons'</w:t>
      </w:r>
      <w:r>
        <w:rPr>
          <w:spacing w:val="-5"/>
          <w:w w:val="105"/>
          <w:sz w:val="22"/>
        </w:rPr>
        <w:t> </w:t>
      </w:r>
      <w:r>
        <w:rPr>
          <w:w w:val="105"/>
          <w:sz w:val="22"/>
        </w:rPr>
        <w:t>medical</w:t>
      </w:r>
      <w:r>
        <w:rPr>
          <w:spacing w:val="-10"/>
          <w:w w:val="105"/>
          <w:sz w:val="22"/>
        </w:rPr>
        <w:t> </w:t>
      </w:r>
      <w:r>
        <w:rPr>
          <w:w w:val="105"/>
          <w:sz w:val="22"/>
        </w:rPr>
        <w:t>records</w:t>
      </w:r>
      <w:r>
        <w:rPr>
          <w:spacing w:val="-18"/>
          <w:w w:val="105"/>
          <w:sz w:val="22"/>
        </w:rPr>
        <w:t> </w:t>
      </w:r>
      <w:r>
        <w:rPr>
          <w:w w:val="105"/>
          <w:sz w:val="22"/>
        </w:rPr>
        <w:t>to</w:t>
      </w:r>
      <w:r>
        <w:rPr>
          <w:spacing w:val="-6"/>
          <w:w w:val="105"/>
          <w:sz w:val="22"/>
        </w:rPr>
        <w:t> </w:t>
      </w:r>
      <w:r>
        <w:rPr>
          <w:w w:val="105"/>
          <w:sz w:val="22"/>
        </w:rPr>
        <w:t>any</w:t>
      </w:r>
      <w:r>
        <w:rPr>
          <w:spacing w:val="-15"/>
          <w:w w:val="105"/>
          <w:sz w:val="22"/>
        </w:rPr>
        <w:t> </w:t>
      </w:r>
      <w:r>
        <w:rPr>
          <w:w w:val="105"/>
          <w:sz w:val="22"/>
        </w:rPr>
        <w:t>other</w:t>
      </w:r>
      <w:r>
        <w:rPr>
          <w:spacing w:val="-13"/>
          <w:w w:val="105"/>
          <w:sz w:val="22"/>
        </w:rPr>
        <w:t> </w:t>
      </w:r>
      <w:r>
        <w:rPr>
          <w:w w:val="105"/>
          <w:sz w:val="22"/>
        </w:rPr>
        <w:t>healthcare</w:t>
      </w:r>
      <w:r>
        <w:rPr>
          <w:spacing w:val="-4"/>
          <w:w w:val="105"/>
          <w:sz w:val="22"/>
        </w:rPr>
        <w:t> </w:t>
      </w:r>
      <w:r>
        <w:rPr>
          <w:w w:val="105"/>
          <w:sz w:val="22"/>
        </w:rPr>
        <w:t>provider</w:t>
      </w:r>
      <w:r>
        <w:rPr>
          <w:spacing w:val="-9"/>
          <w:w w:val="105"/>
          <w:sz w:val="22"/>
        </w:rPr>
        <w:t> </w:t>
      </w:r>
      <w:r>
        <w:rPr>
          <w:w w:val="105"/>
          <w:sz w:val="22"/>
        </w:rPr>
        <w:t>at</w:t>
      </w:r>
      <w:r>
        <w:rPr>
          <w:spacing w:val="-5"/>
          <w:w w:val="105"/>
          <w:sz w:val="22"/>
        </w:rPr>
        <w:t> </w:t>
      </w:r>
      <w:r>
        <w:rPr>
          <w:w w:val="105"/>
          <w:sz w:val="22"/>
        </w:rPr>
        <w:t>no</w:t>
      </w:r>
      <w:r>
        <w:rPr>
          <w:spacing w:val="-23"/>
          <w:w w:val="105"/>
          <w:sz w:val="22"/>
        </w:rPr>
        <w:t> </w:t>
      </w:r>
      <w:r>
        <w:rPr>
          <w:w w:val="105"/>
          <w:sz w:val="22"/>
        </w:rPr>
        <w:t>charge</w:t>
      </w:r>
      <w:r>
        <w:rPr>
          <w:spacing w:val="-21"/>
          <w:w w:val="105"/>
          <w:sz w:val="22"/>
        </w:rPr>
        <w:t> </w:t>
      </w:r>
      <w:r>
        <w:rPr>
          <w:w w:val="105"/>
          <w:sz w:val="22"/>
        </w:rPr>
        <w:t>(one</w:t>
      </w:r>
      <w:r>
        <w:rPr>
          <w:spacing w:val="-25"/>
          <w:w w:val="105"/>
          <w:sz w:val="22"/>
        </w:rPr>
        <w:t> </w:t>
      </w:r>
      <w:r>
        <w:rPr>
          <w:w w:val="105"/>
          <w:sz w:val="22"/>
        </w:rPr>
        <w:t>time) and when required. If an IPA Provider is required to transfer the same medical records more than one time, he or she shall be entitled to reimbursement for postage and copy charges at the rate of $0.25 per page for copies in the excess of ten (10) pages. (Art.</w:t>
      </w:r>
      <w:r>
        <w:rPr>
          <w:spacing w:val="-36"/>
          <w:w w:val="105"/>
          <w:sz w:val="22"/>
        </w:rPr>
        <w:t> </w:t>
      </w:r>
      <w:r>
        <w:rPr>
          <w:w w:val="105"/>
          <w:sz w:val="22"/>
        </w:rPr>
        <w:t>Vl.5).</w:t>
      </w:r>
    </w:p>
    <w:p>
      <w:pPr>
        <w:pStyle w:val="BodyText"/>
        <w:spacing w:before="4"/>
        <w:rPr>
          <w:sz w:val="23"/>
        </w:rPr>
      </w:pPr>
    </w:p>
    <w:p>
      <w:pPr>
        <w:pStyle w:val="ListParagraph"/>
        <w:numPr>
          <w:ilvl w:val="1"/>
          <w:numId w:val="2"/>
        </w:numPr>
        <w:tabs>
          <w:tab w:pos="1209" w:val="left" w:leader="none"/>
        </w:tabs>
        <w:spacing w:line="259" w:lineRule="auto" w:before="0" w:after="0"/>
        <w:ind w:left="1208" w:right="105" w:hanging="353"/>
        <w:jc w:val="both"/>
        <w:rPr>
          <w:sz w:val="22"/>
        </w:rPr>
      </w:pPr>
      <w:r>
        <w:rPr>
          <w:w w:val="105"/>
          <w:sz w:val="22"/>
        </w:rPr>
        <w:t>Referrals Description - </w:t>
      </w:r>
      <w:r>
        <w:rPr>
          <w:w w:val="105"/>
          <w:sz w:val="22"/>
          <w:u w:val="thick"/>
        </w:rPr>
        <w:t>Referrals: Reporting to Primary Care Physicians.</w:t>
      </w:r>
      <w:r>
        <w:rPr>
          <w:w w:val="105"/>
          <w:sz w:val="22"/>
        </w:rPr>
        <w:t> IPA Provider that is a specialty physician ("IPA Specialty Provider") shall provide Covered</w:t>
      </w:r>
      <w:r>
        <w:rPr>
          <w:spacing w:val="-14"/>
          <w:w w:val="105"/>
          <w:sz w:val="22"/>
        </w:rPr>
        <w:t> </w:t>
      </w:r>
      <w:r>
        <w:rPr>
          <w:w w:val="105"/>
          <w:sz w:val="22"/>
        </w:rPr>
        <w:t>Services</w:t>
      </w:r>
      <w:r>
        <w:rPr>
          <w:spacing w:val="-10"/>
          <w:w w:val="105"/>
          <w:sz w:val="22"/>
        </w:rPr>
        <w:t> </w:t>
      </w:r>
      <w:r>
        <w:rPr>
          <w:w w:val="105"/>
          <w:sz w:val="22"/>
        </w:rPr>
        <w:t>to Covered</w:t>
      </w:r>
      <w:r>
        <w:rPr>
          <w:spacing w:val="-2"/>
          <w:w w:val="105"/>
          <w:sz w:val="22"/>
        </w:rPr>
        <w:t> </w:t>
      </w:r>
      <w:r>
        <w:rPr>
          <w:w w:val="105"/>
          <w:sz w:val="22"/>
        </w:rPr>
        <w:t>Persons</w:t>
      </w:r>
      <w:r>
        <w:rPr>
          <w:spacing w:val="4"/>
          <w:w w:val="105"/>
          <w:sz w:val="22"/>
        </w:rPr>
        <w:t> </w:t>
      </w:r>
      <w:r>
        <w:rPr>
          <w:w w:val="105"/>
          <w:sz w:val="22"/>
        </w:rPr>
        <w:t>upon</w:t>
      </w:r>
      <w:r>
        <w:rPr>
          <w:spacing w:val="-4"/>
          <w:w w:val="105"/>
          <w:sz w:val="22"/>
        </w:rPr>
        <w:t> </w:t>
      </w:r>
      <w:r>
        <w:rPr>
          <w:w w:val="105"/>
          <w:sz w:val="22"/>
        </w:rPr>
        <w:t>referral</w:t>
      </w:r>
      <w:r>
        <w:rPr>
          <w:spacing w:val="-10"/>
          <w:w w:val="105"/>
          <w:sz w:val="22"/>
        </w:rPr>
        <w:t> </w:t>
      </w:r>
      <w:r>
        <w:rPr>
          <w:w w:val="105"/>
          <w:sz w:val="22"/>
        </w:rPr>
        <w:t>from</w:t>
      </w:r>
      <w:r>
        <w:rPr>
          <w:spacing w:val="-4"/>
          <w:w w:val="105"/>
          <w:sz w:val="22"/>
        </w:rPr>
        <w:t> </w:t>
      </w:r>
      <w:r>
        <w:rPr>
          <w:w w:val="105"/>
          <w:sz w:val="22"/>
        </w:rPr>
        <w:t>an</w:t>
      </w:r>
      <w:r>
        <w:rPr>
          <w:spacing w:val="-11"/>
          <w:w w:val="105"/>
          <w:sz w:val="22"/>
        </w:rPr>
        <w:t> </w:t>
      </w:r>
      <w:r>
        <w:rPr>
          <w:w w:val="105"/>
          <w:sz w:val="22"/>
        </w:rPr>
        <w:t>IPA</w:t>
      </w:r>
      <w:r>
        <w:rPr>
          <w:spacing w:val="-14"/>
          <w:w w:val="105"/>
          <w:sz w:val="22"/>
        </w:rPr>
        <w:t> </w:t>
      </w:r>
      <w:r>
        <w:rPr>
          <w:w w:val="105"/>
          <w:sz w:val="22"/>
        </w:rPr>
        <w:t>Provider</w:t>
      </w:r>
      <w:r>
        <w:rPr>
          <w:spacing w:val="4"/>
          <w:w w:val="105"/>
          <w:sz w:val="22"/>
        </w:rPr>
        <w:t> </w:t>
      </w:r>
      <w:r>
        <w:rPr>
          <w:w w:val="105"/>
          <w:sz w:val="22"/>
        </w:rPr>
        <w:t>primary care physician ("PCP") and shall arrange for any appropriate referrals and/or admissions</w:t>
      </w:r>
      <w:r>
        <w:rPr>
          <w:spacing w:val="-11"/>
          <w:w w:val="105"/>
          <w:sz w:val="22"/>
        </w:rPr>
        <w:t> </w:t>
      </w:r>
      <w:r>
        <w:rPr>
          <w:w w:val="105"/>
          <w:sz w:val="22"/>
        </w:rPr>
        <w:t>of</w:t>
      </w:r>
      <w:r>
        <w:rPr>
          <w:spacing w:val="-18"/>
          <w:w w:val="105"/>
          <w:sz w:val="22"/>
        </w:rPr>
        <w:t> </w:t>
      </w:r>
      <w:r>
        <w:rPr>
          <w:w w:val="105"/>
          <w:sz w:val="22"/>
        </w:rPr>
        <w:t>Covered</w:t>
      </w:r>
      <w:r>
        <w:rPr>
          <w:spacing w:val="-2"/>
          <w:w w:val="105"/>
          <w:sz w:val="22"/>
        </w:rPr>
        <w:t> </w:t>
      </w:r>
      <w:r>
        <w:rPr>
          <w:w w:val="105"/>
          <w:sz w:val="22"/>
        </w:rPr>
        <w:t>Persons.</w:t>
      </w:r>
      <w:r>
        <w:rPr>
          <w:spacing w:val="43"/>
          <w:w w:val="105"/>
          <w:sz w:val="22"/>
        </w:rPr>
        <w:t> </w:t>
      </w:r>
      <w:r>
        <w:rPr>
          <w:w w:val="105"/>
          <w:sz w:val="22"/>
        </w:rPr>
        <w:t>IPA</w:t>
      </w:r>
      <w:r>
        <w:rPr>
          <w:spacing w:val="-22"/>
          <w:w w:val="105"/>
          <w:sz w:val="22"/>
        </w:rPr>
        <w:t> </w:t>
      </w:r>
      <w:r>
        <w:rPr>
          <w:w w:val="105"/>
          <w:sz w:val="22"/>
        </w:rPr>
        <w:t>Specialty</w:t>
      </w:r>
      <w:r>
        <w:rPr>
          <w:spacing w:val="-8"/>
          <w:w w:val="105"/>
          <w:sz w:val="22"/>
        </w:rPr>
        <w:t> </w:t>
      </w:r>
      <w:r>
        <w:rPr>
          <w:w w:val="105"/>
          <w:sz w:val="22"/>
        </w:rPr>
        <w:t>Provider</w:t>
      </w:r>
      <w:r>
        <w:rPr>
          <w:spacing w:val="-10"/>
          <w:w w:val="105"/>
          <w:sz w:val="22"/>
        </w:rPr>
        <w:t> </w:t>
      </w:r>
      <w:r>
        <w:rPr>
          <w:w w:val="105"/>
          <w:sz w:val="22"/>
        </w:rPr>
        <w:t>shall,</w:t>
      </w:r>
      <w:r>
        <w:rPr>
          <w:spacing w:val="-8"/>
          <w:w w:val="105"/>
          <w:sz w:val="22"/>
        </w:rPr>
        <w:t> </w:t>
      </w:r>
      <w:r>
        <w:rPr>
          <w:w w:val="105"/>
          <w:sz w:val="22"/>
        </w:rPr>
        <w:t>within</w:t>
      </w:r>
      <w:r>
        <w:rPr>
          <w:spacing w:val="-14"/>
          <w:w w:val="105"/>
          <w:sz w:val="22"/>
        </w:rPr>
        <w:t> </w:t>
      </w:r>
      <w:r>
        <w:rPr>
          <w:w w:val="105"/>
          <w:sz w:val="22"/>
        </w:rPr>
        <w:t>a</w:t>
      </w:r>
      <w:r>
        <w:rPr>
          <w:spacing w:val="-11"/>
          <w:w w:val="105"/>
          <w:sz w:val="22"/>
        </w:rPr>
        <w:t> </w:t>
      </w:r>
      <w:r>
        <w:rPr>
          <w:w w:val="105"/>
          <w:sz w:val="22"/>
        </w:rPr>
        <w:t>reasonable time</w:t>
      </w:r>
      <w:r>
        <w:rPr>
          <w:spacing w:val="-8"/>
          <w:w w:val="105"/>
          <w:sz w:val="22"/>
        </w:rPr>
        <w:t> </w:t>
      </w:r>
      <w:r>
        <w:rPr>
          <w:w w:val="105"/>
          <w:sz w:val="22"/>
        </w:rPr>
        <w:t>following</w:t>
      </w:r>
      <w:r>
        <w:rPr>
          <w:spacing w:val="-11"/>
          <w:w w:val="105"/>
          <w:sz w:val="22"/>
        </w:rPr>
        <w:t> </w:t>
      </w:r>
      <w:r>
        <w:rPr>
          <w:w w:val="105"/>
          <w:sz w:val="22"/>
        </w:rPr>
        <w:t>consultation</w:t>
      </w:r>
      <w:r>
        <w:rPr>
          <w:spacing w:val="-7"/>
          <w:w w:val="105"/>
          <w:sz w:val="22"/>
        </w:rPr>
        <w:t> </w:t>
      </w:r>
      <w:r>
        <w:rPr>
          <w:w w:val="105"/>
          <w:sz w:val="22"/>
        </w:rPr>
        <w:t>with,</w:t>
      </w:r>
      <w:r>
        <w:rPr>
          <w:spacing w:val="-9"/>
          <w:w w:val="105"/>
          <w:sz w:val="22"/>
        </w:rPr>
        <w:t> </w:t>
      </w:r>
      <w:r>
        <w:rPr>
          <w:w w:val="105"/>
          <w:sz w:val="22"/>
        </w:rPr>
        <w:t>or</w:t>
      </w:r>
      <w:r>
        <w:rPr>
          <w:spacing w:val="-6"/>
          <w:w w:val="105"/>
          <w:sz w:val="22"/>
        </w:rPr>
        <w:t> </w:t>
      </w:r>
      <w:r>
        <w:rPr>
          <w:w w:val="105"/>
          <w:sz w:val="22"/>
        </w:rPr>
        <w:t>testing</w:t>
      </w:r>
      <w:r>
        <w:rPr>
          <w:spacing w:val="-8"/>
          <w:w w:val="105"/>
          <w:sz w:val="22"/>
        </w:rPr>
        <w:t> </w:t>
      </w:r>
      <w:r>
        <w:rPr>
          <w:w w:val="105"/>
          <w:sz w:val="22"/>
        </w:rPr>
        <w:t>of,</w:t>
      </w:r>
      <w:r>
        <w:rPr>
          <w:spacing w:val="-9"/>
          <w:w w:val="105"/>
          <w:sz w:val="22"/>
        </w:rPr>
        <w:t> </w:t>
      </w:r>
      <w:r>
        <w:rPr>
          <w:w w:val="105"/>
          <w:sz w:val="22"/>
        </w:rPr>
        <w:t>a</w:t>
      </w:r>
      <w:r>
        <w:rPr>
          <w:spacing w:val="-7"/>
          <w:w w:val="105"/>
          <w:sz w:val="22"/>
        </w:rPr>
        <w:t> </w:t>
      </w:r>
      <w:r>
        <w:rPr>
          <w:w w:val="105"/>
          <w:sz w:val="22"/>
        </w:rPr>
        <w:t>Covered</w:t>
      </w:r>
      <w:r>
        <w:rPr>
          <w:spacing w:val="-8"/>
          <w:w w:val="105"/>
          <w:sz w:val="22"/>
        </w:rPr>
        <w:t> </w:t>
      </w:r>
      <w:r>
        <w:rPr>
          <w:w w:val="105"/>
          <w:sz w:val="22"/>
        </w:rPr>
        <w:t>Person,</w:t>
      </w:r>
      <w:r>
        <w:rPr>
          <w:spacing w:val="-8"/>
          <w:w w:val="105"/>
          <w:sz w:val="22"/>
        </w:rPr>
        <w:t> </w:t>
      </w:r>
      <w:r>
        <w:rPr>
          <w:w w:val="105"/>
          <w:sz w:val="22"/>
        </w:rPr>
        <w:t>make</w:t>
      </w:r>
      <w:r>
        <w:rPr>
          <w:spacing w:val="-11"/>
          <w:w w:val="105"/>
          <w:sz w:val="22"/>
        </w:rPr>
        <w:t> </w:t>
      </w:r>
      <w:r>
        <w:rPr>
          <w:w w:val="105"/>
          <w:sz w:val="22"/>
        </w:rPr>
        <w:t>a</w:t>
      </w:r>
      <w:r>
        <w:rPr>
          <w:spacing w:val="-7"/>
          <w:w w:val="105"/>
          <w:sz w:val="22"/>
        </w:rPr>
        <w:t> </w:t>
      </w:r>
      <w:r>
        <w:rPr>
          <w:w w:val="105"/>
          <w:sz w:val="22"/>
        </w:rPr>
        <w:t>complete written</w:t>
      </w:r>
      <w:r>
        <w:rPr>
          <w:spacing w:val="-7"/>
          <w:w w:val="105"/>
          <w:sz w:val="22"/>
        </w:rPr>
        <w:t> </w:t>
      </w:r>
      <w:r>
        <w:rPr>
          <w:w w:val="105"/>
          <w:sz w:val="22"/>
        </w:rPr>
        <w:t>report</w:t>
      </w:r>
      <w:r>
        <w:rPr>
          <w:spacing w:val="-7"/>
          <w:w w:val="105"/>
          <w:sz w:val="22"/>
        </w:rPr>
        <w:t> </w:t>
      </w:r>
      <w:r>
        <w:rPr>
          <w:w w:val="105"/>
          <w:sz w:val="22"/>
        </w:rPr>
        <w:t>to</w:t>
      </w:r>
      <w:r>
        <w:rPr>
          <w:spacing w:val="-7"/>
          <w:w w:val="105"/>
          <w:sz w:val="22"/>
        </w:rPr>
        <w:t> </w:t>
      </w:r>
      <w:r>
        <w:rPr>
          <w:w w:val="105"/>
          <w:sz w:val="22"/>
        </w:rPr>
        <w:t>the</w:t>
      </w:r>
      <w:r>
        <w:rPr>
          <w:spacing w:val="-9"/>
          <w:w w:val="105"/>
          <w:sz w:val="22"/>
        </w:rPr>
        <w:t> </w:t>
      </w:r>
      <w:r>
        <w:rPr>
          <w:w w:val="105"/>
          <w:sz w:val="22"/>
        </w:rPr>
        <w:t>Covered</w:t>
      </w:r>
      <w:r>
        <w:rPr>
          <w:spacing w:val="-11"/>
          <w:w w:val="105"/>
          <w:sz w:val="22"/>
        </w:rPr>
        <w:t> </w:t>
      </w:r>
      <w:r>
        <w:rPr>
          <w:w w:val="105"/>
          <w:sz w:val="22"/>
        </w:rPr>
        <w:t>Person's</w:t>
      </w:r>
      <w:r>
        <w:rPr>
          <w:spacing w:val="-11"/>
          <w:w w:val="105"/>
          <w:sz w:val="22"/>
        </w:rPr>
        <w:t> </w:t>
      </w:r>
      <w:r>
        <w:rPr>
          <w:w w:val="105"/>
          <w:sz w:val="22"/>
        </w:rPr>
        <w:t>PCP.</w:t>
      </w:r>
      <w:r>
        <w:rPr>
          <w:spacing w:val="-9"/>
          <w:w w:val="105"/>
          <w:sz w:val="22"/>
        </w:rPr>
        <w:t> </w:t>
      </w:r>
      <w:r>
        <w:rPr>
          <w:w w:val="105"/>
          <w:sz w:val="22"/>
        </w:rPr>
        <w:t>Should</w:t>
      </w:r>
      <w:r>
        <w:rPr>
          <w:spacing w:val="-9"/>
          <w:w w:val="105"/>
          <w:sz w:val="22"/>
        </w:rPr>
        <w:t> </w:t>
      </w:r>
      <w:r>
        <w:rPr>
          <w:w w:val="105"/>
          <w:sz w:val="22"/>
        </w:rPr>
        <w:t>immediate</w:t>
      </w:r>
      <w:r>
        <w:rPr>
          <w:spacing w:val="-9"/>
          <w:w w:val="105"/>
          <w:sz w:val="22"/>
        </w:rPr>
        <w:t> </w:t>
      </w:r>
      <w:r>
        <w:rPr>
          <w:w w:val="105"/>
          <w:sz w:val="22"/>
        </w:rPr>
        <w:t>or</w:t>
      </w:r>
      <w:r>
        <w:rPr>
          <w:spacing w:val="-9"/>
          <w:w w:val="105"/>
          <w:sz w:val="22"/>
        </w:rPr>
        <w:t> </w:t>
      </w:r>
      <w:r>
        <w:rPr>
          <w:w w:val="105"/>
          <w:sz w:val="22"/>
        </w:rPr>
        <w:t>urgent</w:t>
      </w:r>
      <w:r>
        <w:rPr>
          <w:spacing w:val="-7"/>
          <w:w w:val="105"/>
          <w:sz w:val="22"/>
        </w:rPr>
        <w:t> </w:t>
      </w:r>
      <w:r>
        <w:rPr>
          <w:w w:val="105"/>
          <w:sz w:val="22"/>
        </w:rPr>
        <w:t>follow-up treatment or testing be necessary which is outside the scope</w:t>
      </w:r>
      <w:r>
        <w:rPr>
          <w:spacing w:val="-51"/>
          <w:w w:val="105"/>
          <w:sz w:val="22"/>
        </w:rPr>
        <w:t> </w:t>
      </w:r>
      <w:r>
        <w:rPr>
          <w:w w:val="105"/>
          <w:sz w:val="22"/>
        </w:rPr>
        <w:t>of</w:t>
      </w:r>
    </w:p>
    <w:p>
      <w:pPr>
        <w:spacing w:after="0" w:line="259" w:lineRule="auto"/>
        <w:jc w:val="both"/>
        <w:rPr>
          <w:sz w:val="22"/>
        </w:rPr>
        <w:sectPr>
          <w:pgSz w:w="12260" w:h="15840"/>
          <w:pgMar w:top="1220" w:bottom="280" w:left="1160" w:right="1460"/>
        </w:sectPr>
      </w:pPr>
    </w:p>
    <w:p>
      <w:pPr>
        <w:pStyle w:val="BodyText"/>
        <w:spacing w:before="75"/>
        <w:ind w:left="697"/>
      </w:pPr>
      <w:r>
        <w:rPr/>
        <w:t>F. Recoupment Policy -</w:t>
      </w:r>
    </w:p>
    <w:p>
      <w:pPr>
        <w:pStyle w:val="BodyText"/>
        <w:rPr>
          <w:sz w:val="27"/>
        </w:rPr>
      </w:pPr>
    </w:p>
    <w:p>
      <w:pPr>
        <w:pStyle w:val="BodyText"/>
        <w:spacing w:line="256" w:lineRule="auto"/>
        <w:ind w:left="1544" w:right="143" w:firstLine="9"/>
        <w:jc w:val="both"/>
      </w:pPr>
      <w:r>
        <w:rPr/>
        <w:drawing>
          <wp:anchor distT="0" distB="0" distL="0" distR="0" allowOverlap="1" layoutInCell="1" locked="0" behindDoc="1" simplePos="0" relativeHeight="251457536">
            <wp:simplePos x="0" y="0"/>
            <wp:positionH relativeFrom="page">
              <wp:posOffset>828352</wp:posOffset>
            </wp:positionH>
            <wp:positionV relativeFrom="paragraph">
              <wp:posOffset>915865</wp:posOffset>
            </wp:positionV>
            <wp:extent cx="5830810" cy="5650784"/>
            <wp:effectExtent l="0" t="0" r="0" b="0"/>
            <wp:wrapNone/>
            <wp:docPr id="7" name="image4.png"/>
            <wp:cNvGraphicFramePr>
              <a:graphicFrameLocks noChangeAspect="1"/>
            </wp:cNvGraphicFramePr>
            <a:graphic>
              <a:graphicData uri="http://schemas.openxmlformats.org/drawingml/2006/picture">
                <pic:pic>
                  <pic:nvPicPr>
                    <pic:cNvPr id="8" name="image4.png"/>
                    <pic:cNvPicPr/>
                  </pic:nvPicPr>
                  <pic:blipFill>
                    <a:blip r:embed="rId9" cstate="print"/>
                    <a:stretch>
                      <a:fillRect/>
                    </a:stretch>
                  </pic:blipFill>
                  <pic:spPr>
                    <a:xfrm>
                      <a:off x="0" y="0"/>
                      <a:ext cx="5830810" cy="5650784"/>
                    </a:xfrm>
                    <a:prstGeom prst="rect">
                      <a:avLst/>
                    </a:prstGeom>
                  </pic:spPr>
                </pic:pic>
              </a:graphicData>
            </a:graphic>
          </wp:anchor>
        </w:drawing>
      </w:r>
      <w:r>
        <w:rPr>
          <w:w w:val="105"/>
        </w:rPr>
        <w:t>Payor</w:t>
      </w:r>
      <w:r>
        <w:rPr>
          <w:spacing w:val="-13"/>
          <w:w w:val="105"/>
        </w:rPr>
        <w:t> </w:t>
      </w:r>
      <w:r>
        <w:rPr>
          <w:w w:val="105"/>
        </w:rPr>
        <w:t>will</w:t>
      </w:r>
      <w:r>
        <w:rPr>
          <w:spacing w:val="-11"/>
          <w:w w:val="105"/>
        </w:rPr>
        <w:t> </w:t>
      </w:r>
      <w:r>
        <w:rPr>
          <w:w w:val="105"/>
        </w:rPr>
        <w:t>provide</w:t>
      </w:r>
      <w:r>
        <w:rPr>
          <w:spacing w:val="-13"/>
          <w:w w:val="105"/>
        </w:rPr>
        <w:t> </w:t>
      </w:r>
      <w:r>
        <w:rPr>
          <w:w w:val="105"/>
        </w:rPr>
        <w:t>written</w:t>
      </w:r>
      <w:r>
        <w:rPr>
          <w:spacing w:val="-11"/>
          <w:w w:val="105"/>
        </w:rPr>
        <w:t> </w:t>
      </w:r>
      <w:r>
        <w:rPr>
          <w:w w:val="105"/>
        </w:rPr>
        <w:t>or</w:t>
      </w:r>
      <w:r>
        <w:rPr>
          <w:spacing w:val="-13"/>
          <w:w w:val="105"/>
        </w:rPr>
        <w:t> </w:t>
      </w:r>
      <w:r>
        <w:rPr>
          <w:w w:val="105"/>
        </w:rPr>
        <w:t>electronic</w:t>
      </w:r>
      <w:r>
        <w:rPr>
          <w:spacing w:val="-10"/>
          <w:w w:val="105"/>
        </w:rPr>
        <w:t> </w:t>
      </w:r>
      <w:r>
        <w:rPr>
          <w:w w:val="105"/>
        </w:rPr>
        <w:t>notice</w:t>
      </w:r>
      <w:r>
        <w:rPr>
          <w:spacing w:val="-11"/>
          <w:w w:val="105"/>
        </w:rPr>
        <w:t> </w:t>
      </w:r>
      <w:r>
        <w:rPr>
          <w:w w:val="105"/>
        </w:rPr>
        <w:t>to</w:t>
      </w:r>
      <w:r>
        <w:rPr>
          <w:spacing w:val="-14"/>
          <w:w w:val="105"/>
        </w:rPr>
        <w:t> </w:t>
      </w:r>
      <w:r>
        <w:rPr>
          <w:w w:val="105"/>
        </w:rPr>
        <w:t>Provider</w:t>
      </w:r>
      <w:r>
        <w:rPr>
          <w:spacing w:val="-12"/>
          <w:w w:val="105"/>
        </w:rPr>
        <w:t> </w:t>
      </w:r>
      <w:r>
        <w:rPr>
          <w:w w:val="105"/>
        </w:rPr>
        <w:t>before</w:t>
      </w:r>
      <w:r>
        <w:rPr>
          <w:spacing w:val="-12"/>
          <w:w w:val="105"/>
        </w:rPr>
        <w:t> </w:t>
      </w:r>
      <w:r>
        <w:rPr>
          <w:w w:val="105"/>
        </w:rPr>
        <w:t>using</w:t>
      </w:r>
      <w:r>
        <w:rPr>
          <w:spacing w:val="-12"/>
          <w:w w:val="105"/>
        </w:rPr>
        <w:t> </w:t>
      </w:r>
      <w:r>
        <w:rPr>
          <w:w w:val="105"/>
        </w:rPr>
        <w:t>an</w:t>
      </w:r>
      <w:r>
        <w:rPr>
          <w:spacing w:val="-10"/>
          <w:w w:val="105"/>
        </w:rPr>
        <w:t> </w:t>
      </w:r>
      <w:r>
        <w:rPr>
          <w:w w:val="105"/>
        </w:rPr>
        <w:t>offset as</w:t>
      </w:r>
      <w:r>
        <w:rPr>
          <w:spacing w:val="-5"/>
          <w:w w:val="105"/>
        </w:rPr>
        <w:t> </w:t>
      </w:r>
      <w:r>
        <w:rPr>
          <w:w w:val="105"/>
        </w:rPr>
        <w:t>a</w:t>
      </w:r>
      <w:r>
        <w:rPr>
          <w:spacing w:val="-2"/>
          <w:w w:val="105"/>
        </w:rPr>
        <w:t> </w:t>
      </w:r>
      <w:r>
        <w:rPr>
          <w:w w:val="105"/>
        </w:rPr>
        <w:t>means</w:t>
      </w:r>
      <w:r>
        <w:rPr>
          <w:spacing w:val="-1"/>
          <w:w w:val="105"/>
        </w:rPr>
        <w:t> </w:t>
      </w:r>
      <w:r>
        <w:rPr>
          <w:w w:val="105"/>
        </w:rPr>
        <w:t>to</w:t>
      </w:r>
      <w:r>
        <w:rPr>
          <w:spacing w:val="-4"/>
          <w:w w:val="105"/>
        </w:rPr>
        <w:t> </w:t>
      </w:r>
      <w:r>
        <w:rPr>
          <w:w w:val="105"/>
        </w:rPr>
        <w:t>recover</w:t>
      </w:r>
      <w:r>
        <w:rPr>
          <w:spacing w:val="-6"/>
          <w:w w:val="105"/>
        </w:rPr>
        <w:t> </w:t>
      </w:r>
      <w:r>
        <w:rPr>
          <w:w w:val="105"/>
        </w:rPr>
        <w:t>an</w:t>
      </w:r>
      <w:r>
        <w:rPr>
          <w:spacing w:val="-2"/>
          <w:w w:val="105"/>
        </w:rPr>
        <w:t> </w:t>
      </w:r>
      <w:r>
        <w:rPr>
          <w:w w:val="105"/>
        </w:rPr>
        <w:t>overpayment</w:t>
      </w:r>
      <w:r>
        <w:rPr>
          <w:spacing w:val="-5"/>
          <w:w w:val="105"/>
        </w:rPr>
        <w:t> </w:t>
      </w:r>
      <w:r>
        <w:rPr>
          <w:w w:val="105"/>
        </w:rPr>
        <w:t>or</w:t>
      </w:r>
      <w:r>
        <w:rPr>
          <w:spacing w:val="-5"/>
          <w:w w:val="105"/>
        </w:rPr>
        <w:t> </w:t>
      </w:r>
      <w:r>
        <w:rPr>
          <w:w w:val="105"/>
        </w:rPr>
        <w:t>payment</w:t>
      </w:r>
      <w:r>
        <w:rPr>
          <w:spacing w:val="-5"/>
          <w:w w:val="105"/>
        </w:rPr>
        <w:t> </w:t>
      </w:r>
      <w:r>
        <w:rPr>
          <w:w w:val="105"/>
        </w:rPr>
        <w:t>made</w:t>
      </w:r>
      <w:r>
        <w:rPr>
          <w:spacing w:val="-5"/>
          <w:w w:val="105"/>
        </w:rPr>
        <w:t> </w:t>
      </w:r>
      <w:r>
        <w:rPr>
          <w:w w:val="105"/>
        </w:rPr>
        <w:t>in</w:t>
      </w:r>
      <w:r>
        <w:rPr>
          <w:spacing w:val="-5"/>
          <w:w w:val="105"/>
        </w:rPr>
        <w:t> </w:t>
      </w:r>
      <w:r>
        <w:rPr>
          <w:w w:val="105"/>
        </w:rPr>
        <w:t>error,</w:t>
      </w:r>
      <w:r>
        <w:rPr>
          <w:spacing w:val="-6"/>
          <w:w w:val="105"/>
        </w:rPr>
        <w:t> </w:t>
      </w:r>
      <w:r>
        <w:rPr>
          <w:w w:val="105"/>
        </w:rPr>
        <w:t>and</w:t>
      </w:r>
      <w:r>
        <w:rPr>
          <w:spacing w:val="-2"/>
          <w:w w:val="105"/>
        </w:rPr>
        <w:t> </w:t>
      </w:r>
      <w:r>
        <w:rPr>
          <w:w w:val="105"/>
        </w:rPr>
        <w:t>will</w:t>
      </w:r>
      <w:r>
        <w:rPr>
          <w:spacing w:val="-2"/>
          <w:w w:val="105"/>
        </w:rPr>
        <w:t> </w:t>
      </w:r>
      <w:r>
        <w:rPr>
          <w:w w:val="105"/>
        </w:rPr>
        <w:t>not implement the offset or other recoupment action if, within thirty (30) days after the</w:t>
      </w:r>
      <w:r>
        <w:rPr>
          <w:spacing w:val="-15"/>
          <w:w w:val="105"/>
        </w:rPr>
        <w:t> </w:t>
      </w:r>
      <w:r>
        <w:rPr>
          <w:w w:val="105"/>
        </w:rPr>
        <w:t>date</w:t>
      </w:r>
      <w:r>
        <w:rPr>
          <w:spacing w:val="-13"/>
          <w:w w:val="105"/>
        </w:rPr>
        <w:t> </w:t>
      </w:r>
      <w:r>
        <w:rPr>
          <w:w w:val="105"/>
        </w:rPr>
        <w:t>of</w:t>
      </w:r>
      <w:r>
        <w:rPr>
          <w:spacing w:val="-13"/>
          <w:w w:val="105"/>
        </w:rPr>
        <w:t> </w:t>
      </w:r>
      <w:r>
        <w:rPr>
          <w:w w:val="105"/>
        </w:rPr>
        <w:t>the</w:t>
      </w:r>
      <w:r>
        <w:rPr>
          <w:spacing w:val="-14"/>
          <w:w w:val="105"/>
        </w:rPr>
        <w:t> </w:t>
      </w:r>
      <w:r>
        <w:rPr>
          <w:w w:val="105"/>
        </w:rPr>
        <w:t>notice,</w:t>
      </w:r>
      <w:r>
        <w:rPr>
          <w:spacing w:val="-16"/>
          <w:w w:val="105"/>
        </w:rPr>
        <w:t> </w:t>
      </w:r>
      <w:r>
        <w:rPr>
          <w:w w:val="105"/>
        </w:rPr>
        <w:t>IPA</w:t>
      </w:r>
      <w:r>
        <w:rPr>
          <w:spacing w:val="-15"/>
          <w:w w:val="105"/>
        </w:rPr>
        <w:t> </w:t>
      </w:r>
      <w:r>
        <w:rPr>
          <w:w w:val="105"/>
        </w:rPr>
        <w:t>Provider</w:t>
      </w:r>
      <w:r>
        <w:rPr>
          <w:spacing w:val="-13"/>
          <w:w w:val="105"/>
        </w:rPr>
        <w:t> </w:t>
      </w:r>
      <w:r>
        <w:rPr>
          <w:w w:val="105"/>
        </w:rPr>
        <w:t>refunds</w:t>
      </w:r>
      <w:r>
        <w:rPr>
          <w:spacing w:val="-14"/>
          <w:w w:val="105"/>
        </w:rPr>
        <w:t> </w:t>
      </w:r>
      <w:r>
        <w:rPr>
          <w:w w:val="105"/>
        </w:rPr>
        <w:t>the</w:t>
      </w:r>
      <w:r>
        <w:rPr>
          <w:spacing w:val="-13"/>
          <w:w w:val="105"/>
        </w:rPr>
        <w:t> </w:t>
      </w:r>
      <w:r>
        <w:rPr>
          <w:w w:val="105"/>
        </w:rPr>
        <w:t>overpayment</w:t>
      </w:r>
      <w:r>
        <w:rPr>
          <w:spacing w:val="-15"/>
          <w:w w:val="105"/>
        </w:rPr>
        <w:t> </w:t>
      </w:r>
      <w:r>
        <w:rPr>
          <w:w w:val="105"/>
        </w:rPr>
        <w:t>or</w:t>
      </w:r>
      <w:r>
        <w:rPr>
          <w:spacing w:val="-14"/>
          <w:w w:val="105"/>
        </w:rPr>
        <w:t> </w:t>
      </w:r>
      <w:r>
        <w:rPr>
          <w:w w:val="105"/>
        </w:rPr>
        <w:t>payment</w:t>
      </w:r>
      <w:r>
        <w:rPr>
          <w:spacing w:val="-16"/>
          <w:w w:val="105"/>
        </w:rPr>
        <w:t> </w:t>
      </w:r>
      <w:r>
        <w:rPr>
          <w:w w:val="105"/>
        </w:rPr>
        <w:t>made in</w:t>
      </w:r>
      <w:r>
        <w:rPr>
          <w:spacing w:val="-8"/>
          <w:w w:val="105"/>
        </w:rPr>
        <w:t> </w:t>
      </w:r>
      <w:r>
        <w:rPr>
          <w:w w:val="105"/>
        </w:rPr>
        <w:t>error,</w:t>
      </w:r>
      <w:r>
        <w:rPr>
          <w:spacing w:val="-9"/>
          <w:w w:val="105"/>
        </w:rPr>
        <w:t> </w:t>
      </w:r>
      <w:r>
        <w:rPr>
          <w:w w:val="105"/>
        </w:rPr>
        <w:t>or</w:t>
      </w:r>
      <w:r>
        <w:rPr>
          <w:spacing w:val="-9"/>
          <w:w w:val="105"/>
        </w:rPr>
        <w:t> </w:t>
      </w:r>
      <w:r>
        <w:rPr>
          <w:w w:val="105"/>
        </w:rPr>
        <w:t>initiates</w:t>
      </w:r>
      <w:r>
        <w:rPr>
          <w:spacing w:val="-7"/>
          <w:w w:val="105"/>
        </w:rPr>
        <w:t> </w:t>
      </w:r>
      <w:r>
        <w:rPr>
          <w:w w:val="105"/>
        </w:rPr>
        <w:t>an</w:t>
      </w:r>
      <w:r>
        <w:rPr>
          <w:spacing w:val="-8"/>
          <w:w w:val="105"/>
        </w:rPr>
        <w:t> </w:t>
      </w:r>
      <w:r>
        <w:rPr>
          <w:w w:val="105"/>
        </w:rPr>
        <w:t>appeal.</w:t>
      </w:r>
      <w:r>
        <w:rPr>
          <w:spacing w:val="-7"/>
          <w:w w:val="105"/>
        </w:rPr>
        <w:t> </w:t>
      </w:r>
      <w:r>
        <w:rPr>
          <w:w w:val="105"/>
        </w:rPr>
        <w:t>The</w:t>
      </w:r>
      <w:r>
        <w:rPr>
          <w:spacing w:val="-8"/>
          <w:w w:val="105"/>
        </w:rPr>
        <w:t> </w:t>
      </w:r>
      <w:r>
        <w:rPr>
          <w:w w:val="105"/>
        </w:rPr>
        <w:t>written</w:t>
      </w:r>
      <w:r>
        <w:rPr>
          <w:spacing w:val="-8"/>
          <w:w w:val="105"/>
        </w:rPr>
        <w:t> </w:t>
      </w:r>
      <w:r>
        <w:rPr>
          <w:w w:val="105"/>
        </w:rPr>
        <w:t>or</w:t>
      </w:r>
      <w:r>
        <w:rPr>
          <w:spacing w:val="-7"/>
          <w:w w:val="105"/>
        </w:rPr>
        <w:t> </w:t>
      </w:r>
      <w:r>
        <w:rPr>
          <w:w w:val="105"/>
        </w:rPr>
        <w:t>electronic</w:t>
      </w:r>
      <w:r>
        <w:rPr>
          <w:spacing w:val="-7"/>
          <w:w w:val="105"/>
        </w:rPr>
        <w:t> </w:t>
      </w:r>
      <w:r>
        <w:rPr>
          <w:w w:val="105"/>
        </w:rPr>
        <w:t>notice</w:t>
      </w:r>
      <w:r>
        <w:rPr>
          <w:spacing w:val="-8"/>
          <w:w w:val="105"/>
        </w:rPr>
        <w:t> </w:t>
      </w:r>
      <w:r>
        <w:rPr>
          <w:w w:val="105"/>
        </w:rPr>
        <w:t>shall</w:t>
      </w:r>
      <w:r>
        <w:rPr>
          <w:spacing w:val="-5"/>
          <w:w w:val="105"/>
        </w:rPr>
        <w:t> </w:t>
      </w:r>
      <w:r>
        <w:rPr>
          <w:w w:val="105"/>
        </w:rPr>
        <w:t>explain</w:t>
      </w:r>
      <w:r>
        <w:rPr>
          <w:spacing w:val="-7"/>
          <w:w w:val="105"/>
        </w:rPr>
        <w:t> </w:t>
      </w:r>
      <w:r>
        <w:rPr>
          <w:w w:val="105"/>
        </w:rPr>
        <w:t>the reason</w:t>
      </w:r>
      <w:r>
        <w:rPr>
          <w:spacing w:val="-7"/>
          <w:w w:val="105"/>
        </w:rPr>
        <w:t> </w:t>
      </w:r>
      <w:r>
        <w:rPr>
          <w:w w:val="105"/>
        </w:rPr>
        <w:t>and</w:t>
      </w:r>
      <w:r>
        <w:rPr>
          <w:spacing w:val="-8"/>
          <w:w w:val="105"/>
        </w:rPr>
        <w:t> </w:t>
      </w:r>
      <w:r>
        <w:rPr>
          <w:w w:val="105"/>
        </w:rPr>
        <w:t>calculation</w:t>
      </w:r>
      <w:r>
        <w:rPr>
          <w:spacing w:val="-11"/>
          <w:w w:val="105"/>
        </w:rPr>
        <w:t> </w:t>
      </w:r>
      <w:r>
        <w:rPr>
          <w:w w:val="105"/>
        </w:rPr>
        <w:t>of</w:t>
      </w:r>
      <w:r>
        <w:rPr>
          <w:spacing w:val="-6"/>
          <w:w w:val="105"/>
        </w:rPr>
        <w:t> </w:t>
      </w:r>
      <w:r>
        <w:rPr>
          <w:w w:val="105"/>
        </w:rPr>
        <w:t>the</w:t>
      </w:r>
      <w:r>
        <w:rPr>
          <w:spacing w:val="-8"/>
          <w:w w:val="105"/>
        </w:rPr>
        <w:t> </w:t>
      </w:r>
      <w:r>
        <w:rPr>
          <w:w w:val="105"/>
        </w:rPr>
        <w:t>overpayment</w:t>
      </w:r>
      <w:r>
        <w:rPr>
          <w:spacing w:val="-6"/>
          <w:w w:val="105"/>
        </w:rPr>
        <w:t> </w:t>
      </w:r>
      <w:r>
        <w:rPr>
          <w:w w:val="105"/>
        </w:rPr>
        <w:t>or</w:t>
      </w:r>
      <w:r>
        <w:rPr>
          <w:spacing w:val="-9"/>
          <w:w w:val="105"/>
        </w:rPr>
        <w:t> </w:t>
      </w:r>
      <w:r>
        <w:rPr>
          <w:w w:val="105"/>
        </w:rPr>
        <w:t>payment</w:t>
      </w:r>
      <w:r>
        <w:rPr>
          <w:spacing w:val="-9"/>
          <w:w w:val="105"/>
        </w:rPr>
        <w:t> </w:t>
      </w:r>
      <w:r>
        <w:rPr>
          <w:w w:val="105"/>
        </w:rPr>
        <w:t>made</w:t>
      </w:r>
      <w:r>
        <w:rPr>
          <w:spacing w:val="-7"/>
          <w:w w:val="105"/>
        </w:rPr>
        <w:t> </w:t>
      </w:r>
      <w:r>
        <w:rPr>
          <w:w w:val="105"/>
        </w:rPr>
        <w:t>in</w:t>
      </w:r>
      <w:r>
        <w:rPr>
          <w:spacing w:val="-6"/>
          <w:w w:val="105"/>
        </w:rPr>
        <w:t> </w:t>
      </w:r>
      <w:r>
        <w:rPr>
          <w:w w:val="105"/>
        </w:rPr>
        <w:t>error.</w:t>
      </w:r>
      <w:r>
        <w:rPr>
          <w:spacing w:val="-9"/>
          <w:w w:val="105"/>
        </w:rPr>
        <w:t> </w:t>
      </w:r>
      <w:r>
        <w:rPr>
          <w:w w:val="105"/>
        </w:rPr>
        <w:t>Appeals shall be made pursuant to procedures outlined in the Provider Manual, provided</w:t>
      </w:r>
      <w:r>
        <w:rPr>
          <w:spacing w:val="-6"/>
          <w:w w:val="105"/>
        </w:rPr>
        <w:t> </w:t>
      </w:r>
      <w:r>
        <w:rPr>
          <w:w w:val="105"/>
        </w:rPr>
        <w:t>that</w:t>
      </w:r>
      <w:r>
        <w:rPr>
          <w:spacing w:val="-8"/>
          <w:w w:val="105"/>
        </w:rPr>
        <w:t> </w:t>
      </w:r>
      <w:r>
        <w:rPr>
          <w:w w:val="105"/>
        </w:rPr>
        <w:t>no</w:t>
      </w:r>
      <w:r>
        <w:rPr>
          <w:spacing w:val="-8"/>
          <w:w w:val="105"/>
        </w:rPr>
        <w:t> </w:t>
      </w:r>
      <w:r>
        <w:rPr>
          <w:w w:val="105"/>
        </w:rPr>
        <w:t>appeal</w:t>
      </w:r>
      <w:r>
        <w:rPr>
          <w:spacing w:val="-7"/>
          <w:w w:val="105"/>
        </w:rPr>
        <w:t> </w:t>
      </w:r>
      <w:r>
        <w:rPr>
          <w:w w:val="105"/>
        </w:rPr>
        <w:t>shall</w:t>
      </w:r>
      <w:r>
        <w:rPr>
          <w:spacing w:val="-5"/>
          <w:w w:val="105"/>
        </w:rPr>
        <w:t> </w:t>
      </w:r>
      <w:r>
        <w:rPr>
          <w:w w:val="105"/>
        </w:rPr>
        <w:t>be</w:t>
      </w:r>
      <w:r>
        <w:rPr>
          <w:spacing w:val="-6"/>
          <w:w w:val="105"/>
        </w:rPr>
        <w:t> </w:t>
      </w:r>
      <w:r>
        <w:rPr>
          <w:w w:val="105"/>
        </w:rPr>
        <w:t>rejected</w:t>
      </w:r>
      <w:r>
        <w:rPr>
          <w:spacing w:val="-7"/>
          <w:w w:val="105"/>
        </w:rPr>
        <w:t> </w:t>
      </w:r>
      <w:r>
        <w:rPr>
          <w:w w:val="105"/>
        </w:rPr>
        <w:t>solely</w:t>
      </w:r>
      <w:r>
        <w:rPr>
          <w:spacing w:val="-7"/>
          <w:w w:val="105"/>
        </w:rPr>
        <w:t> </w:t>
      </w:r>
      <w:r>
        <w:rPr>
          <w:w w:val="105"/>
        </w:rPr>
        <w:t>on</w:t>
      </w:r>
      <w:r>
        <w:rPr>
          <w:spacing w:val="-5"/>
          <w:w w:val="105"/>
        </w:rPr>
        <w:t> </w:t>
      </w:r>
      <w:r>
        <w:rPr>
          <w:w w:val="105"/>
        </w:rPr>
        <w:t>the</w:t>
      </w:r>
      <w:r>
        <w:rPr>
          <w:spacing w:val="-8"/>
          <w:w w:val="105"/>
        </w:rPr>
        <w:t> </w:t>
      </w:r>
      <w:r>
        <w:rPr>
          <w:w w:val="105"/>
        </w:rPr>
        <w:t>basis</w:t>
      </w:r>
      <w:r>
        <w:rPr>
          <w:spacing w:val="-6"/>
          <w:w w:val="105"/>
        </w:rPr>
        <w:t> </w:t>
      </w:r>
      <w:r>
        <w:rPr>
          <w:w w:val="105"/>
        </w:rPr>
        <w:t>that</w:t>
      </w:r>
      <w:r>
        <w:rPr>
          <w:spacing w:val="-6"/>
          <w:w w:val="105"/>
        </w:rPr>
        <w:t> </w:t>
      </w:r>
      <w:r>
        <w:rPr>
          <w:w w:val="105"/>
        </w:rPr>
        <w:t>it</w:t>
      </w:r>
      <w:r>
        <w:rPr>
          <w:spacing w:val="-5"/>
          <w:w w:val="105"/>
        </w:rPr>
        <w:t> </w:t>
      </w:r>
      <w:r>
        <w:rPr>
          <w:w w:val="105"/>
        </w:rPr>
        <w:t>was</w:t>
      </w:r>
      <w:r>
        <w:rPr>
          <w:spacing w:val="-7"/>
          <w:w w:val="105"/>
        </w:rPr>
        <w:t> </w:t>
      </w:r>
      <w:r>
        <w:rPr>
          <w:w w:val="105"/>
        </w:rPr>
        <w:t>not</w:t>
      </w:r>
      <w:r>
        <w:rPr>
          <w:spacing w:val="-7"/>
          <w:w w:val="105"/>
        </w:rPr>
        <w:t> </w:t>
      </w:r>
      <w:r>
        <w:rPr>
          <w:w w:val="105"/>
        </w:rPr>
        <w:t>set forth in a Claim Appeal Form included in the Provider</w:t>
      </w:r>
      <w:r>
        <w:rPr>
          <w:spacing w:val="-17"/>
          <w:w w:val="105"/>
        </w:rPr>
        <w:t> </w:t>
      </w:r>
      <w:r>
        <w:rPr>
          <w:w w:val="105"/>
        </w:rPr>
        <w:t>Manual.</w:t>
      </w:r>
    </w:p>
    <w:p>
      <w:pPr>
        <w:pStyle w:val="BodyText"/>
        <w:spacing w:before="5"/>
        <w:rPr>
          <w:sz w:val="25"/>
        </w:rPr>
      </w:pPr>
    </w:p>
    <w:p>
      <w:pPr>
        <w:pStyle w:val="BodyText"/>
        <w:spacing w:line="256" w:lineRule="auto" w:before="1"/>
        <w:ind w:left="1543" w:right="144" w:firstLine="1"/>
        <w:jc w:val="both"/>
      </w:pPr>
      <w:r>
        <w:rPr>
          <w:w w:val="105"/>
        </w:rPr>
        <w:t>Such recoupment by the Payor is limited to the twelve (12) months after the payment was initially made except in cases where the overpayment resulted from</w:t>
      </w:r>
      <w:r>
        <w:rPr>
          <w:spacing w:val="-5"/>
          <w:w w:val="105"/>
        </w:rPr>
        <w:t> </w:t>
      </w:r>
      <w:r>
        <w:rPr>
          <w:w w:val="105"/>
        </w:rPr>
        <w:t>fraud</w:t>
      </w:r>
      <w:r>
        <w:rPr>
          <w:spacing w:val="-5"/>
          <w:w w:val="105"/>
        </w:rPr>
        <w:t> </w:t>
      </w:r>
      <w:r>
        <w:rPr>
          <w:w w:val="105"/>
        </w:rPr>
        <w:t>or</w:t>
      </w:r>
      <w:r>
        <w:rPr>
          <w:spacing w:val="-8"/>
          <w:w w:val="105"/>
        </w:rPr>
        <w:t> </w:t>
      </w:r>
      <w:r>
        <w:rPr>
          <w:w w:val="105"/>
        </w:rPr>
        <w:t>abuse</w:t>
      </w:r>
      <w:r>
        <w:rPr>
          <w:spacing w:val="-3"/>
          <w:w w:val="105"/>
        </w:rPr>
        <w:t> </w:t>
      </w:r>
      <w:r>
        <w:rPr>
          <w:w w:val="105"/>
        </w:rPr>
        <w:t>by</w:t>
      </w:r>
      <w:r>
        <w:rPr>
          <w:spacing w:val="-16"/>
          <w:w w:val="105"/>
        </w:rPr>
        <w:t> </w:t>
      </w:r>
      <w:r>
        <w:rPr>
          <w:w w:val="105"/>
        </w:rPr>
        <w:t>or</w:t>
      </w:r>
      <w:r>
        <w:rPr>
          <w:spacing w:val="-5"/>
          <w:w w:val="105"/>
        </w:rPr>
        <w:t> </w:t>
      </w:r>
      <w:r>
        <w:rPr>
          <w:w w:val="105"/>
        </w:rPr>
        <w:t>on</w:t>
      </w:r>
      <w:r>
        <w:rPr>
          <w:spacing w:val="-10"/>
          <w:w w:val="105"/>
        </w:rPr>
        <w:t> </w:t>
      </w:r>
      <w:r>
        <w:rPr>
          <w:w w:val="105"/>
        </w:rPr>
        <w:t>behalf</w:t>
      </w:r>
      <w:r>
        <w:rPr>
          <w:spacing w:val="-3"/>
          <w:w w:val="105"/>
        </w:rPr>
        <w:t> </w:t>
      </w:r>
      <w:r>
        <w:rPr>
          <w:w w:val="105"/>
        </w:rPr>
        <w:t>of</w:t>
      </w:r>
      <w:r>
        <w:rPr>
          <w:spacing w:val="-17"/>
          <w:w w:val="105"/>
        </w:rPr>
        <w:t> </w:t>
      </w:r>
      <w:r>
        <w:rPr>
          <w:w w:val="105"/>
        </w:rPr>
        <w:t>IPA</w:t>
      </w:r>
      <w:r>
        <w:rPr>
          <w:spacing w:val="-16"/>
          <w:w w:val="105"/>
        </w:rPr>
        <w:t> </w:t>
      </w:r>
      <w:r>
        <w:rPr>
          <w:w w:val="105"/>
        </w:rPr>
        <w:t>Provider,</w:t>
      </w:r>
      <w:r>
        <w:rPr>
          <w:spacing w:val="-3"/>
          <w:w w:val="105"/>
        </w:rPr>
        <w:t> </w:t>
      </w:r>
      <w:r>
        <w:rPr>
          <w:w w:val="105"/>
        </w:rPr>
        <w:t>or</w:t>
      </w:r>
      <w:r>
        <w:rPr>
          <w:spacing w:val="-7"/>
          <w:w w:val="105"/>
        </w:rPr>
        <w:t> </w:t>
      </w:r>
      <w:r>
        <w:rPr>
          <w:w w:val="105"/>
        </w:rPr>
        <w:t>when</w:t>
      </w:r>
      <w:r>
        <w:rPr>
          <w:spacing w:val="-12"/>
          <w:w w:val="105"/>
        </w:rPr>
        <w:t> </w:t>
      </w:r>
      <w:r>
        <w:rPr>
          <w:w w:val="105"/>
        </w:rPr>
        <w:t>ability</w:t>
      </w:r>
      <w:r>
        <w:rPr>
          <w:spacing w:val="-9"/>
          <w:w w:val="105"/>
        </w:rPr>
        <w:t> </w:t>
      </w:r>
      <w:r>
        <w:rPr>
          <w:w w:val="105"/>
        </w:rPr>
        <w:t>to discover the overpayment during the twelve (12) month period was hindered by IPA Provider's failure to provide full and timely cooperation with an audit by</w:t>
      </w:r>
      <w:r>
        <w:rPr>
          <w:spacing w:val="-48"/>
          <w:w w:val="105"/>
        </w:rPr>
        <w:t> </w:t>
      </w:r>
      <w:r>
        <w:rPr>
          <w:w w:val="105"/>
        </w:rPr>
        <w:t>Payor. (Art.</w:t>
      </w:r>
      <w:r>
        <w:rPr>
          <w:spacing w:val="-20"/>
          <w:w w:val="105"/>
        </w:rPr>
        <w:t> </w:t>
      </w:r>
      <w:r>
        <w:rPr>
          <w:w w:val="105"/>
        </w:rPr>
        <w:t>V.5)</w:t>
      </w:r>
    </w:p>
    <w:p>
      <w:pPr>
        <w:pStyle w:val="BodyText"/>
        <w:rPr>
          <w:sz w:val="24"/>
        </w:rPr>
      </w:pPr>
    </w:p>
    <w:p>
      <w:pPr>
        <w:pStyle w:val="BodyText"/>
        <w:rPr>
          <w:sz w:val="24"/>
        </w:rPr>
      </w:pPr>
    </w:p>
    <w:p>
      <w:pPr>
        <w:pStyle w:val="BodyText"/>
        <w:spacing w:before="6"/>
        <w:rPr>
          <w:sz w:val="21"/>
        </w:rPr>
      </w:pPr>
    </w:p>
    <w:p>
      <w:pPr>
        <w:pStyle w:val="Heading2"/>
        <w:numPr>
          <w:ilvl w:val="0"/>
          <w:numId w:val="2"/>
        </w:numPr>
        <w:tabs>
          <w:tab w:pos="853" w:val="left" w:leader="none"/>
          <w:tab w:pos="854" w:val="left" w:leader="none"/>
        </w:tabs>
        <w:spacing w:line="240" w:lineRule="auto" w:before="0" w:after="0"/>
        <w:ind w:left="853" w:right="0" w:hanging="726"/>
        <w:jc w:val="left"/>
      </w:pPr>
      <w:bookmarkStart w:name="VII.  Patient Info" w:id="10"/>
      <w:bookmarkEnd w:id="10"/>
      <w:r>
        <w:rPr>
          <w:b w:val="0"/>
        </w:rPr>
      </w:r>
      <w:bookmarkStart w:name="VII.  Patient Info" w:id="11"/>
      <w:bookmarkEnd w:id="11"/>
      <w:r>
        <w:rPr/>
        <w:t>P</w:t>
      </w:r>
      <w:r>
        <w:rPr/>
        <w:t>atient</w:t>
      </w:r>
      <w:r>
        <w:rPr>
          <w:spacing w:val="-3"/>
        </w:rPr>
        <w:t> </w:t>
      </w:r>
      <w:r>
        <w:rPr/>
        <w:t>Info</w:t>
      </w:r>
    </w:p>
    <w:p>
      <w:pPr>
        <w:pStyle w:val="BodyText"/>
        <w:spacing w:before="10"/>
        <w:rPr>
          <w:b/>
          <w:sz w:val="23"/>
        </w:rPr>
      </w:pPr>
    </w:p>
    <w:p>
      <w:pPr>
        <w:pStyle w:val="ListParagraph"/>
        <w:numPr>
          <w:ilvl w:val="1"/>
          <w:numId w:val="2"/>
        </w:numPr>
        <w:tabs>
          <w:tab w:pos="1219" w:val="left" w:leader="none"/>
        </w:tabs>
        <w:spacing w:line="240" w:lineRule="auto" w:before="1" w:after="0"/>
        <w:ind w:left="1218" w:right="0" w:hanging="363"/>
        <w:jc w:val="left"/>
        <w:rPr>
          <w:sz w:val="22"/>
        </w:rPr>
      </w:pPr>
      <w:r>
        <w:rPr>
          <w:sz w:val="22"/>
        </w:rPr>
        <w:t>ID Card - copy of card or proof of</w:t>
      </w:r>
      <w:r>
        <w:rPr>
          <w:spacing w:val="3"/>
          <w:sz w:val="22"/>
        </w:rPr>
        <w:t> </w:t>
      </w:r>
      <w:r>
        <w:rPr>
          <w:sz w:val="22"/>
        </w:rPr>
        <w:t>coverage</w:t>
      </w:r>
    </w:p>
    <w:p>
      <w:pPr>
        <w:pStyle w:val="BodyText"/>
        <w:spacing w:before="10"/>
        <w:rPr>
          <w:sz w:val="23"/>
        </w:rPr>
      </w:pPr>
    </w:p>
    <w:p>
      <w:pPr>
        <w:pStyle w:val="ListParagraph"/>
        <w:numPr>
          <w:ilvl w:val="1"/>
          <w:numId w:val="2"/>
        </w:numPr>
        <w:tabs>
          <w:tab w:pos="1221" w:val="left" w:leader="none"/>
        </w:tabs>
        <w:spacing w:line="240" w:lineRule="auto" w:before="0" w:after="0"/>
        <w:ind w:left="1220" w:right="0" w:hanging="368"/>
        <w:jc w:val="left"/>
        <w:rPr>
          <w:sz w:val="22"/>
        </w:rPr>
      </w:pPr>
      <w:r>
        <w:rPr>
          <w:w w:val="105"/>
          <w:sz w:val="22"/>
        </w:rPr>
        <w:t>Patient Payment Responsibility</w:t>
      </w:r>
      <w:r>
        <w:rPr>
          <w:spacing w:val="-3"/>
          <w:w w:val="105"/>
          <w:sz w:val="22"/>
        </w:rPr>
        <w:t> </w:t>
      </w:r>
      <w:r>
        <w:rPr>
          <w:w w:val="105"/>
          <w:sz w:val="22"/>
        </w:rPr>
        <w:t>-</w:t>
      </w:r>
    </w:p>
    <w:p>
      <w:pPr>
        <w:pStyle w:val="ListParagraph"/>
        <w:numPr>
          <w:ilvl w:val="2"/>
          <w:numId w:val="2"/>
        </w:numPr>
        <w:tabs>
          <w:tab w:pos="1586" w:val="left" w:leader="none"/>
        </w:tabs>
        <w:spacing w:line="240" w:lineRule="auto" w:before="21" w:after="0"/>
        <w:ind w:left="1585" w:right="0" w:hanging="370"/>
        <w:jc w:val="left"/>
        <w:rPr>
          <w:sz w:val="22"/>
        </w:rPr>
      </w:pPr>
      <w:r>
        <w:rPr>
          <w:w w:val="105"/>
          <w:sz w:val="22"/>
        </w:rPr>
        <w:t>no balance billing for</w:t>
      </w:r>
      <w:r>
        <w:rPr>
          <w:spacing w:val="-6"/>
          <w:w w:val="105"/>
          <w:sz w:val="22"/>
        </w:rPr>
        <w:t> </w:t>
      </w:r>
      <w:r>
        <w:rPr>
          <w:w w:val="105"/>
          <w:sz w:val="22"/>
        </w:rPr>
        <w:t>coveredservices</w:t>
      </w:r>
    </w:p>
    <w:p>
      <w:pPr>
        <w:pStyle w:val="ListParagraph"/>
        <w:numPr>
          <w:ilvl w:val="2"/>
          <w:numId w:val="2"/>
        </w:numPr>
        <w:tabs>
          <w:tab w:pos="1586" w:val="left" w:leader="none"/>
        </w:tabs>
        <w:spacing w:line="240" w:lineRule="auto" w:before="28" w:after="0"/>
        <w:ind w:left="1585" w:right="0" w:hanging="361"/>
        <w:jc w:val="left"/>
        <w:rPr>
          <w:sz w:val="22"/>
        </w:rPr>
      </w:pPr>
      <w:r>
        <w:rPr>
          <w:w w:val="105"/>
          <w:sz w:val="22"/>
        </w:rPr>
        <w:t>must</w:t>
      </w:r>
      <w:r>
        <w:rPr>
          <w:spacing w:val="-18"/>
          <w:w w:val="105"/>
          <w:sz w:val="22"/>
        </w:rPr>
        <w:t> </w:t>
      </w:r>
      <w:r>
        <w:rPr>
          <w:w w:val="105"/>
          <w:sz w:val="22"/>
        </w:rPr>
        <w:t>have</w:t>
      </w:r>
      <w:r>
        <w:rPr>
          <w:spacing w:val="-21"/>
          <w:w w:val="105"/>
          <w:sz w:val="22"/>
        </w:rPr>
        <w:t> </w:t>
      </w:r>
      <w:r>
        <w:rPr>
          <w:w w:val="105"/>
          <w:sz w:val="22"/>
        </w:rPr>
        <w:t>advance</w:t>
      </w:r>
      <w:r>
        <w:rPr>
          <w:spacing w:val="-3"/>
          <w:w w:val="105"/>
          <w:sz w:val="22"/>
        </w:rPr>
        <w:t> </w:t>
      </w:r>
      <w:r>
        <w:rPr>
          <w:w w:val="105"/>
          <w:sz w:val="22"/>
        </w:rPr>
        <w:t>notice</w:t>
      </w:r>
      <w:r>
        <w:rPr>
          <w:spacing w:val="-17"/>
          <w:w w:val="105"/>
          <w:sz w:val="22"/>
        </w:rPr>
        <w:t> </w:t>
      </w:r>
      <w:r>
        <w:rPr>
          <w:w w:val="105"/>
          <w:sz w:val="22"/>
        </w:rPr>
        <w:t>signed</w:t>
      </w:r>
      <w:r>
        <w:rPr>
          <w:spacing w:val="-14"/>
          <w:w w:val="105"/>
          <w:sz w:val="22"/>
        </w:rPr>
        <w:t> </w:t>
      </w:r>
      <w:r>
        <w:rPr>
          <w:w w:val="105"/>
          <w:sz w:val="22"/>
        </w:rPr>
        <w:t>before</w:t>
      </w:r>
      <w:r>
        <w:rPr>
          <w:spacing w:val="-22"/>
          <w:w w:val="105"/>
          <w:sz w:val="22"/>
        </w:rPr>
        <w:t> </w:t>
      </w:r>
      <w:r>
        <w:rPr>
          <w:w w:val="105"/>
          <w:sz w:val="22"/>
        </w:rPr>
        <w:t>collecting</w:t>
      </w:r>
      <w:r>
        <w:rPr>
          <w:spacing w:val="-24"/>
          <w:w w:val="105"/>
          <w:sz w:val="22"/>
        </w:rPr>
        <w:t> </w:t>
      </w:r>
      <w:r>
        <w:rPr>
          <w:w w:val="105"/>
          <w:sz w:val="22"/>
        </w:rPr>
        <w:t>for</w:t>
      </w:r>
      <w:r>
        <w:rPr>
          <w:spacing w:val="-7"/>
          <w:w w:val="105"/>
          <w:sz w:val="22"/>
        </w:rPr>
        <w:t> </w:t>
      </w:r>
      <w:r>
        <w:rPr>
          <w:w w:val="105"/>
          <w:sz w:val="22"/>
        </w:rPr>
        <w:t>non-covered</w:t>
      </w:r>
      <w:r>
        <w:rPr>
          <w:spacing w:val="-6"/>
          <w:w w:val="105"/>
          <w:sz w:val="22"/>
        </w:rPr>
        <w:t> </w:t>
      </w:r>
      <w:r>
        <w:rPr>
          <w:w w:val="105"/>
          <w:sz w:val="22"/>
        </w:rPr>
        <w:t>services.</w:t>
      </w:r>
    </w:p>
    <w:p>
      <w:pPr>
        <w:pStyle w:val="BodyText"/>
        <w:rPr>
          <w:sz w:val="23"/>
        </w:rPr>
      </w:pPr>
    </w:p>
    <w:p>
      <w:pPr>
        <w:pStyle w:val="ListParagraph"/>
        <w:numPr>
          <w:ilvl w:val="1"/>
          <w:numId w:val="2"/>
        </w:numPr>
        <w:tabs>
          <w:tab w:pos="1216" w:val="left" w:leader="none"/>
        </w:tabs>
        <w:spacing w:line="240" w:lineRule="auto" w:before="1" w:after="0"/>
        <w:ind w:left="1216" w:right="0" w:hanging="363"/>
        <w:jc w:val="left"/>
        <w:rPr>
          <w:sz w:val="22"/>
        </w:rPr>
      </w:pPr>
      <w:r>
        <w:rPr>
          <w:w w:val="105"/>
          <w:sz w:val="22"/>
        </w:rPr>
        <w:t>Verification of Eligibility - always</w:t>
      </w:r>
      <w:r>
        <w:rPr>
          <w:spacing w:val="-9"/>
          <w:w w:val="105"/>
          <w:sz w:val="22"/>
        </w:rPr>
        <w:t> </w:t>
      </w:r>
      <w:r>
        <w:rPr>
          <w:w w:val="105"/>
          <w:sz w:val="22"/>
        </w:rPr>
        <w:t>verify.</w:t>
      </w:r>
    </w:p>
    <w:p>
      <w:pPr>
        <w:pStyle w:val="BodyText"/>
        <w:rPr>
          <w:sz w:val="24"/>
        </w:rPr>
      </w:pPr>
    </w:p>
    <w:p>
      <w:pPr>
        <w:pStyle w:val="BodyText"/>
        <w:spacing w:before="4"/>
        <w:rPr>
          <w:sz w:val="20"/>
        </w:rPr>
      </w:pPr>
    </w:p>
    <w:p>
      <w:pPr>
        <w:pStyle w:val="Heading2"/>
        <w:numPr>
          <w:ilvl w:val="0"/>
          <w:numId w:val="2"/>
        </w:numPr>
        <w:tabs>
          <w:tab w:pos="853" w:val="left" w:leader="none"/>
          <w:tab w:pos="854" w:val="left" w:leader="none"/>
        </w:tabs>
        <w:spacing w:line="240" w:lineRule="auto" w:before="0" w:after="0"/>
        <w:ind w:left="853" w:right="0" w:hanging="726"/>
        <w:jc w:val="left"/>
      </w:pPr>
      <w:bookmarkStart w:name="VIII.  Physician Rights" w:id="12"/>
      <w:bookmarkEnd w:id="12"/>
      <w:r>
        <w:rPr>
          <w:b w:val="0"/>
        </w:rPr>
      </w:r>
      <w:bookmarkStart w:name="VIII.  Physician Rights" w:id="13"/>
      <w:bookmarkEnd w:id="13"/>
      <w:r>
        <w:rPr/>
        <w:t>P</w:t>
      </w:r>
      <w:r>
        <w:rPr/>
        <w:t>hysician</w:t>
      </w:r>
      <w:r>
        <w:rPr>
          <w:spacing w:val="16"/>
        </w:rPr>
        <w:t> </w:t>
      </w:r>
      <w:r>
        <w:rPr/>
        <w:t>Rights</w:t>
      </w:r>
    </w:p>
    <w:p>
      <w:pPr>
        <w:pStyle w:val="BodyText"/>
        <w:spacing w:before="10"/>
        <w:rPr>
          <w:b/>
          <w:sz w:val="23"/>
        </w:rPr>
      </w:pPr>
    </w:p>
    <w:p>
      <w:pPr>
        <w:pStyle w:val="ListParagraph"/>
        <w:numPr>
          <w:ilvl w:val="1"/>
          <w:numId w:val="2"/>
        </w:numPr>
        <w:tabs>
          <w:tab w:pos="1221" w:val="left" w:leader="none"/>
        </w:tabs>
        <w:spacing w:line="254" w:lineRule="auto" w:before="0" w:after="0"/>
        <w:ind w:left="1220" w:right="456" w:hanging="358"/>
        <w:jc w:val="left"/>
        <w:rPr>
          <w:sz w:val="22"/>
        </w:rPr>
      </w:pPr>
      <w:r>
        <w:rPr>
          <w:sz w:val="22"/>
        </w:rPr>
        <w:t>Opt out notification period - IPA Providers shall have the right to withdraw from the panel at any time upon thirty (30) day notice to IPA, which shall furnish a copy of such notice to HMO. (Art.</w:t>
      </w:r>
      <w:r>
        <w:rPr>
          <w:spacing w:val="-32"/>
          <w:sz w:val="22"/>
        </w:rPr>
        <w:t> </w:t>
      </w:r>
      <w:r>
        <w:rPr>
          <w:sz w:val="22"/>
        </w:rPr>
        <w:t>111.2)</w:t>
      </w:r>
    </w:p>
    <w:p>
      <w:pPr>
        <w:pStyle w:val="BodyText"/>
        <w:spacing w:before="6"/>
      </w:pPr>
    </w:p>
    <w:p>
      <w:pPr>
        <w:pStyle w:val="ListParagraph"/>
        <w:numPr>
          <w:ilvl w:val="1"/>
          <w:numId w:val="2"/>
        </w:numPr>
        <w:tabs>
          <w:tab w:pos="1221" w:val="left" w:leader="none"/>
        </w:tabs>
        <w:spacing w:line="252" w:lineRule="auto" w:before="0" w:after="0"/>
        <w:ind w:left="1221" w:right="865" w:hanging="358"/>
        <w:jc w:val="left"/>
        <w:rPr>
          <w:sz w:val="22"/>
        </w:rPr>
      </w:pPr>
      <w:r>
        <w:rPr>
          <w:sz w:val="22"/>
        </w:rPr>
        <w:t>Closing of Patient Panel - IPA Provider shall provide </w:t>
      </w:r>
      <w:r>
        <w:rPr>
          <w:spacing w:val="-2"/>
          <w:sz w:val="22"/>
        </w:rPr>
        <w:t>HMO </w:t>
      </w:r>
      <w:r>
        <w:rPr>
          <w:sz w:val="22"/>
        </w:rPr>
        <w:t>forty-five (45) days written notice prior to IPA provider's decision to no longer accept Covered Persons.</w:t>
      </w:r>
      <w:r>
        <w:rPr>
          <w:spacing w:val="1"/>
          <w:sz w:val="22"/>
        </w:rPr>
        <w:t> </w:t>
      </w:r>
      <w:r>
        <w:rPr>
          <w:sz w:val="22"/>
        </w:rPr>
        <w:t>(Art.II1.8)</w:t>
      </w:r>
    </w:p>
    <w:p>
      <w:pPr>
        <w:pStyle w:val="BodyText"/>
        <w:spacing w:before="4"/>
        <w:rPr>
          <w:sz w:val="23"/>
        </w:rPr>
      </w:pPr>
    </w:p>
    <w:p>
      <w:pPr>
        <w:pStyle w:val="ListParagraph"/>
        <w:numPr>
          <w:ilvl w:val="1"/>
          <w:numId w:val="2"/>
        </w:numPr>
        <w:tabs>
          <w:tab w:pos="1224" w:val="left" w:leader="none"/>
        </w:tabs>
        <w:spacing w:line="240" w:lineRule="auto" w:before="0" w:after="0"/>
        <w:ind w:left="1223" w:right="0" w:hanging="361"/>
        <w:jc w:val="left"/>
        <w:rPr>
          <w:sz w:val="22"/>
        </w:rPr>
      </w:pPr>
      <w:r>
        <w:rPr>
          <w:w w:val="105"/>
          <w:sz w:val="22"/>
        </w:rPr>
        <w:t>Right to use in office lab and</w:t>
      </w:r>
      <w:r>
        <w:rPr>
          <w:spacing w:val="-23"/>
          <w:w w:val="105"/>
          <w:sz w:val="22"/>
        </w:rPr>
        <w:t> </w:t>
      </w:r>
      <w:r>
        <w:rPr>
          <w:w w:val="105"/>
          <w:sz w:val="22"/>
        </w:rPr>
        <w:t>x-ray</w:t>
      </w:r>
    </w:p>
    <w:p>
      <w:pPr>
        <w:pStyle w:val="BodyText"/>
        <w:spacing w:before="9"/>
        <w:rPr>
          <w:sz w:val="25"/>
        </w:rPr>
      </w:pPr>
    </w:p>
    <w:p>
      <w:pPr>
        <w:pStyle w:val="ListParagraph"/>
        <w:numPr>
          <w:ilvl w:val="1"/>
          <w:numId w:val="2"/>
        </w:numPr>
        <w:tabs>
          <w:tab w:pos="1224" w:val="left" w:leader="none"/>
        </w:tabs>
        <w:spacing w:line="259" w:lineRule="auto" w:before="0" w:after="0"/>
        <w:ind w:left="1225" w:right="604" w:hanging="365"/>
        <w:jc w:val="left"/>
        <w:rPr>
          <w:sz w:val="22"/>
        </w:rPr>
      </w:pPr>
      <w:r>
        <w:rPr>
          <w:w w:val="105"/>
          <w:sz w:val="22"/>
        </w:rPr>
        <w:t>Payment for medical records - 25 cents per page, in excess of 10 pages, if required</w:t>
      </w:r>
      <w:r>
        <w:rPr>
          <w:spacing w:val="-2"/>
          <w:w w:val="105"/>
          <w:sz w:val="22"/>
        </w:rPr>
        <w:t> </w:t>
      </w:r>
      <w:r>
        <w:rPr>
          <w:w w:val="105"/>
          <w:sz w:val="22"/>
        </w:rPr>
        <w:t>to</w:t>
      </w:r>
      <w:r>
        <w:rPr>
          <w:spacing w:val="-1"/>
          <w:w w:val="105"/>
          <w:sz w:val="22"/>
        </w:rPr>
        <w:t> </w:t>
      </w:r>
      <w:r>
        <w:rPr>
          <w:w w:val="105"/>
          <w:sz w:val="22"/>
        </w:rPr>
        <w:t>transfer</w:t>
      </w:r>
      <w:r>
        <w:rPr>
          <w:spacing w:val="-3"/>
          <w:w w:val="105"/>
          <w:sz w:val="22"/>
        </w:rPr>
        <w:t> </w:t>
      </w:r>
      <w:r>
        <w:rPr>
          <w:w w:val="105"/>
          <w:sz w:val="22"/>
        </w:rPr>
        <w:t>the</w:t>
      </w:r>
      <w:r>
        <w:rPr>
          <w:spacing w:val="-6"/>
          <w:w w:val="105"/>
          <w:sz w:val="22"/>
        </w:rPr>
        <w:t> </w:t>
      </w:r>
      <w:r>
        <w:rPr>
          <w:w w:val="105"/>
          <w:sz w:val="22"/>
        </w:rPr>
        <w:t>same</w:t>
      </w:r>
      <w:r>
        <w:rPr>
          <w:spacing w:val="-3"/>
          <w:w w:val="105"/>
          <w:sz w:val="22"/>
        </w:rPr>
        <w:t> </w:t>
      </w:r>
      <w:r>
        <w:rPr>
          <w:w w:val="105"/>
          <w:sz w:val="22"/>
        </w:rPr>
        <w:t>medical</w:t>
      </w:r>
      <w:r>
        <w:rPr>
          <w:spacing w:val="-3"/>
          <w:w w:val="105"/>
          <w:sz w:val="22"/>
        </w:rPr>
        <w:t> </w:t>
      </w:r>
      <w:r>
        <w:rPr>
          <w:w w:val="105"/>
          <w:sz w:val="22"/>
        </w:rPr>
        <w:t>records</w:t>
      </w:r>
      <w:r>
        <w:rPr>
          <w:spacing w:val="-3"/>
          <w:w w:val="105"/>
          <w:sz w:val="22"/>
        </w:rPr>
        <w:t> </w:t>
      </w:r>
      <w:r>
        <w:rPr>
          <w:w w:val="105"/>
          <w:sz w:val="22"/>
        </w:rPr>
        <w:t>more</w:t>
      </w:r>
      <w:r>
        <w:rPr>
          <w:spacing w:val="-1"/>
          <w:w w:val="105"/>
          <w:sz w:val="22"/>
        </w:rPr>
        <w:t> </w:t>
      </w:r>
      <w:r>
        <w:rPr>
          <w:w w:val="105"/>
          <w:sz w:val="22"/>
        </w:rPr>
        <w:t>than</w:t>
      </w:r>
      <w:r>
        <w:rPr>
          <w:spacing w:val="-2"/>
          <w:w w:val="105"/>
          <w:sz w:val="22"/>
        </w:rPr>
        <w:t> </w:t>
      </w:r>
      <w:r>
        <w:rPr>
          <w:w w:val="105"/>
          <w:sz w:val="22"/>
        </w:rPr>
        <w:t>one</w:t>
      </w:r>
      <w:r>
        <w:rPr>
          <w:spacing w:val="-3"/>
          <w:w w:val="105"/>
          <w:sz w:val="22"/>
        </w:rPr>
        <w:t> </w:t>
      </w:r>
      <w:r>
        <w:rPr>
          <w:w w:val="105"/>
          <w:sz w:val="22"/>
        </w:rPr>
        <w:t>time.</w:t>
      </w:r>
      <w:r>
        <w:rPr>
          <w:spacing w:val="-1"/>
          <w:w w:val="105"/>
          <w:sz w:val="22"/>
        </w:rPr>
        <w:t> </w:t>
      </w:r>
      <w:r>
        <w:rPr>
          <w:w w:val="105"/>
          <w:sz w:val="22"/>
        </w:rPr>
        <w:t>(Art.</w:t>
      </w:r>
      <w:r>
        <w:rPr>
          <w:spacing w:val="-36"/>
          <w:w w:val="105"/>
          <w:sz w:val="22"/>
        </w:rPr>
        <w:t> </w:t>
      </w:r>
      <w:r>
        <w:rPr>
          <w:w w:val="105"/>
          <w:sz w:val="22"/>
        </w:rPr>
        <w:t>Vl.5)</w:t>
      </w:r>
    </w:p>
    <w:p>
      <w:pPr>
        <w:spacing w:after="0" w:line="259" w:lineRule="auto"/>
        <w:jc w:val="left"/>
        <w:rPr>
          <w:sz w:val="22"/>
        </w:rPr>
        <w:sectPr>
          <w:pgSz w:w="12240" w:h="15840"/>
          <w:pgMar w:top="1420" w:bottom="280" w:left="1160" w:right="1460"/>
        </w:sectPr>
      </w:pPr>
    </w:p>
    <w:p>
      <w:pPr>
        <w:pStyle w:val="BodyText"/>
        <w:rPr>
          <w:sz w:val="20"/>
        </w:rPr>
      </w:pPr>
      <w:r>
        <w:rPr/>
        <w:pict>
          <v:line style="position:absolute;mso-position-horizontal-relative:page;mso-position-vertical-relative:page;z-index:251664384" from="610.44989pt,708.350098pt" to="610.44989pt,792.000098pt" stroked="true" strokeweight=".361pt" strokecolor="#000000">
            <v:stroke dashstyle="solid"/>
            <w10:wrap type="none"/>
          </v:line>
        </w:pict>
      </w:r>
    </w:p>
    <w:p>
      <w:pPr>
        <w:pStyle w:val="BodyText"/>
        <w:rPr>
          <w:sz w:val="20"/>
        </w:rPr>
      </w:pPr>
    </w:p>
    <w:p>
      <w:pPr>
        <w:pStyle w:val="BodyText"/>
        <w:rPr>
          <w:sz w:val="18"/>
        </w:rPr>
      </w:pPr>
    </w:p>
    <w:p>
      <w:pPr>
        <w:pStyle w:val="Heading2"/>
        <w:numPr>
          <w:ilvl w:val="0"/>
          <w:numId w:val="2"/>
        </w:numPr>
        <w:tabs>
          <w:tab w:pos="860" w:val="left" w:leader="none"/>
          <w:tab w:pos="861" w:val="left" w:leader="none"/>
        </w:tabs>
        <w:spacing w:line="240" w:lineRule="auto" w:before="94" w:after="0"/>
        <w:ind w:left="860" w:right="0" w:hanging="749"/>
        <w:jc w:val="left"/>
      </w:pPr>
      <w:bookmarkStart w:name="IX. Physician Responsibilities" w:id="14"/>
      <w:bookmarkEnd w:id="14"/>
      <w:r>
        <w:rPr>
          <w:b w:val="0"/>
        </w:rPr>
      </w:r>
      <w:bookmarkStart w:name="IX. Physician Responsibilities" w:id="15"/>
      <w:bookmarkEnd w:id="15"/>
      <w:r>
        <w:rPr/>
        <w:t>P</w:t>
      </w:r>
      <w:r>
        <w:rPr/>
        <w:t>hysician</w:t>
      </w:r>
      <w:r>
        <w:rPr>
          <w:spacing w:val="4"/>
        </w:rPr>
        <w:t> </w:t>
      </w:r>
      <w:r>
        <w:rPr/>
        <w:t>Responsibilities</w:t>
      </w:r>
    </w:p>
    <w:p>
      <w:pPr>
        <w:pStyle w:val="BodyText"/>
        <w:spacing w:before="5"/>
        <w:rPr>
          <w:b/>
          <w:sz w:val="23"/>
        </w:rPr>
      </w:pPr>
    </w:p>
    <w:p>
      <w:pPr>
        <w:spacing w:before="1"/>
        <w:ind w:left="498" w:right="0" w:firstLine="0"/>
        <w:jc w:val="left"/>
        <w:rPr>
          <w:b/>
          <w:sz w:val="23"/>
        </w:rPr>
      </w:pPr>
      <w:r>
        <w:rPr>
          <w:b/>
          <w:w w:val="95"/>
          <w:sz w:val="23"/>
          <w:u w:val="thick"/>
        </w:rPr>
        <w:t>THETERMSANDFEESCHEDULE OFTHISAGREEMENT MUST BEKEPTCONFIDENTIAL</w:t>
      </w:r>
    </w:p>
    <w:p>
      <w:pPr>
        <w:pStyle w:val="BodyText"/>
        <w:spacing w:before="1"/>
        <w:rPr>
          <w:b/>
          <w:sz w:val="15"/>
        </w:rPr>
      </w:pPr>
    </w:p>
    <w:p>
      <w:pPr>
        <w:pStyle w:val="ListParagraph"/>
        <w:numPr>
          <w:ilvl w:val="1"/>
          <w:numId w:val="2"/>
        </w:numPr>
        <w:tabs>
          <w:tab w:pos="1226" w:val="left" w:leader="none"/>
        </w:tabs>
        <w:spacing w:line="240" w:lineRule="auto" w:before="94" w:after="0"/>
        <w:ind w:left="1225" w:right="0" w:hanging="363"/>
        <w:jc w:val="left"/>
        <w:rPr>
          <w:sz w:val="22"/>
        </w:rPr>
      </w:pPr>
      <w:r>
        <w:rPr/>
        <w:drawing>
          <wp:anchor distT="0" distB="0" distL="0" distR="0" allowOverlap="1" layoutInCell="1" locked="0" behindDoc="1" simplePos="0" relativeHeight="251458560">
            <wp:simplePos x="0" y="0"/>
            <wp:positionH relativeFrom="page">
              <wp:posOffset>828352</wp:posOffset>
            </wp:positionH>
            <wp:positionV relativeFrom="paragraph">
              <wp:posOffset>173170</wp:posOffset>
            </wp:positionV>
            <wp:extent cx="5830810" cy="5650784"/>
            <wp:effectExtent l="0" t="0" r="0" b="0"/>
            <wp:wrapNone/>
            <wp:docPr id="9" name="image5.png"/>
            <wp:cNvGraphicFramePr>
              <a:graphicFrameLocks noChangeAspect="1"/>
            </wp:cNvGraphicFramePr>
            <a:graphic>
              <a:graphicData uri="http://schemas.openxmlformats.org/drawingml/2006/picture">
                <pic:pic>
                  <pic:nvPicPr>
                    <pic:cNvPr id="10" name="image5.png"/>
                    <pic:cNvPicPr/>
                  </pic:nvPicPr>
                  <pic:blipFill>
                    <a:blip r:embed="rId10" cstate="print"/>
                    <a:stretch>
                      <a:fillRect/>
                    </a:stretch>
                  </pic:blipFill>
                  <pic:spPr>
                    <a:xfrm>
                      <a:off x="0" y="0"/>
                      <a:ext cx="5830810" cy="5650784"/>
                    </a:xfrm>
                    <a:prstGeom prst="rect">
                      <a:avLst/>
                    </a:prstGeom>
                  </pic:spPr>
                </pic:pic>
              </a:graphicData>
            </a:graphic>
          </wp:anchor>
        </w:drawing>
      </w:r>
      <w:r>
        <w:rPr>
          <w:sz w:val="22"/>
        </w:rPr>
        <w:t>Agreement</w:t>
      </w:r>
      <w:r>
        <w:rPr>
          <w:spacing w:val="3"/>
          <w:sz w:val="22"/>
        </w:rPr>
        <w:t> </w:t>
      </w:r>
      <w:r>
        <w:rPr>
          <w:sz w:val="22"/>
        </w:rPr>
        <w:t>specific</w:t>
      </w:r>
    </w:p>
    <w:p>
      <w:pPr>
        <w:pStyle w:val="BodyText"/>
        <w:spacing w:before="3"/>
        <w:rPr>
          <w:sz w:val="23"/>
        </w:rPr>
      </w:pPr>
    </w:p>
    <w:p>
      <w:pPr>
        <w:pStyle w:val="ListParagraph"/>
        <w:numPr>
          <w:ilvl w:val="1"/>
          <w:numId w:val="2"/>
        </w:numPr>
        <w:tabs>
          <w:tab w:pos="1221" w:val="left" w:leader="none"/>
        </w:tabs>
        <w:spacing w:line="252" w:lineRule="exact" w:before="1" w:after="0"/>
        <w:ind w:left="1220" w:right="0" w:hanging="358"/>
        <w:jc w:val="both"/>
        <w:rPr>
          <w:sz w:val="22"/>
        </w:rPr>
      </w:pPr>
      <w:r>
        <w:rPr>
          <w:sz w:val="22"/>
        </w:rPr>
        <w:t>Covered</w:t>
      </w:r>
      <w:r>
        <w:rPr>
          <w:spacing w:val="-1"/>
          <w:sz w:val="22"/>
        </w:rPr>
        <w:t> </w:t>
      </w:r>
      <w:r>
        <w:rPr>
          <w:sz w:val="22"/>
        </w:rPr>
        <w:t>Services:</w:t>
      </w:r>
    </w:p>
    <w:p>
      <w:pPr>
        <w:pStyle w:val="BodyText"/>
        <w:ind w:left="1218" w:right="99"/>
        <w:jc w:val="both"/>
      </w:pPr>
      <w:r>
        <w:rPr/>
        <w:t>IPA Providers will make necessary and appropriate arrangements to assure the availability of Covered Services to Covered Persons on a twenty-four (24) hour per day, seven (7) day per week basis, including arrangements to assure coverage of Covered Persons after-hours or when IPA Provider is otherwise absent. IPA and IPA Provider further agree that such arrangements will be with a health care professional that</w:t>
      </w:r>
      <w:r>
        <w:rPr>
          <w:spacing w:val="-8"/>
        </w:rPr>
        <w:t> </w:t>
      </w:r>
      <w:r>
        <w:rPr/>
        <w:t>is</w:t>
      </w:r>
      <w:r>
        <w:rPr>
          <w:spacing w:val="-6"/>
        </w:rPr>
        <w:t> </w:t>
      </w:r>
      <w:r>
        <w:rPr/>
        <w:t>a</w:t>
      </w:r>
      <w:r>
        <w:rPr>
          <w:spacing w:val="-10"/>
        </w:rPr>
        <w:t> </w:t>
      </w:r>
      <w:r>
        <w:rPr/>
        <w:t>Participating</w:t>
      </w:r>
      <w:r>
        <w:rPr>
          <w:spacing w:val="-6"/>
        </w:rPr>
        <w:t> </w:t>
      </w:r>
      <w:r>
        <w:rPr/>
        <w:t>Health</w:t>
      </w:r>
      <w:r>
        <w:rPr>
          <w:spacing w:val="-7"/>
        </w:rPr>
        <w:t> </w:t>
      </w:r>
      <w:r>
        <w:rPr/>
        <w:t>Care</w:t>
      </w:r>
      <w:r>
        <w:rPr>
          <w:spacing w:val="-9"/>
        </w:rPr>
        <w:t> </w:t>
      </w:r>
      <w:r>
        <w:rPr/>
        <w:t>Provider,</w:t>
      </w:r>
      <w:r>
        <w:rPr>
          <w:spacing w:val="-8"/>
        </w:rPr>
        <w:t> </w:t>
      </w:r>
      <w:r>
        <w:rPr/>
        <w:t>except</w:t>
      </w:r>
      <w:r>
        <w:rPr>
          <w:spacing w:val="-5"/>
        </w:rPr>
        <w:t> </w:t>
      </w:r>
      <w:r>
        <w:rPr/>
        <w:t>in</w:t>
      </w:r>
      <w:r>
        <w:rPr>
          <w:spacing w:val="-10"/>
        </w:rPr>
        <w:t> </w:t>
      </w:r>
      <w:r>
        <w:rPr/>
        <w:t>cases</w:t>
      </w:r>
      <w:r>
        <w:rPr>
          <w:spacing w:val="-8"/>
        </w:rPr>
        <w:t> </w:t>
      </w:r>
      <w:r>
        <w:rPr/>
        <w:t>where,</w:t>
      </w:r>
      <w:r>
        <w:rPr>
          <w:spacing w:val="-6"/>
        </w:rPr>
        <w:t> </w:t>
      </w:r>
      <w:r>
        <w:rPr/>
        <w:t>in</w:t>
      </w:r>
      <w:r>
        <w:rPr>
          <w:spacing w:val="-9"/>
        </w:rPr>
        <w:t> </w:t>
      </w:r>
      <w:r>
        <w:rPr/>
        <w:t>the</w:t>
      </w:r>
      <w:r>
        <w:rPr>
          <w:spacing w:val="-11"/>
        </w:rPr>
        <w:t> </w:t>
      </w:r>
      <w:r>
        <w:rPr/>
        <w:t>professional judgment of IPA Provider, arrangements should be made with a non-Participating Health Care Provider. (Art.</w:t>
      </w:r>
      <w:r>
        <w:rPr>
          <w:spacing w:val="-36"/>
        </w:rPr>
        <w:t> </w:t>
      </w:r>
      <w:r>
        <w:rPr/>
        <w:t>111.3.)</w:t>
      </w:r>
    </w:p>
    <w:p>
      <w:pPr>
        <w:pStyle w:val="BodyText"/>
        <w:spacing w:before="11"/>
        <w:rPr>
          <w:sz w:val="21"/>
        </w:rPr>
      </w:pPr>
    </w:p>
    <w:p>
      <w:pPr>
        <w:pStyle w:val="ListParagraph"/>
        <w:numPr>
          <w:ilvl w:val="1"/>
          <w:numId w:val="2"/>
        </w:numPr>
        <w:tabs>
          <w:tab w:pos="1197" w:val="left" w:leader="none"/>
        </w:tabs>
        <w:spacing w:line="240" w:lineRule="auto" w:before="0" w:after="0"/>
        <w:ind w:left="1196" w:right="0" w:hanging="334"/>
        <w:jc w:val="left"/>
        <w:rPr>
          <w:sz w:val="22"/>
        </w:rPr>
      </w:pPr>
      <w:r>
        <w:rPr>
          <w:sz w:val="22"/>
        </w:rPr>
        <w:t>IPA Provider</w:t>
      </w:r>
      <w:r>
        <w:rPr>
          <w:spacing w:val="1"/>
          <w:sz w:val="22"/>
        </w:rPr>
        <w:t> </w:t>
      </w:r>
      <w:r>
        <w:rPr>
          <w:sz w:val="22"/>
        </w:rPr>
        <w:t>Insurance:</w:t>
      </w:r>
    </w:p>
    <w:p>
      <w:pPr>
        <w:pStyle w:val="BodyText"/>
        <w:spacing w:line="256" w:lineRule="auto" w:before="28"/>
        <w:ind w:left="1201" w:right="368" w:hanging="8"/>
      </w:pPr>
      <w:r>
        <w:rPr>
          <w:w w:val="105"/>
        </w:rPr>
        <w:t>Insurance shall be through a licensed carrier, and in a minimum amount of one hundred thousand dollars ($100,000.00) per occurrence, and have an annual aggregate of no less than three hundred thousand dollars ($300,000.00). (Art. Vll.1)</w:t>
      </w:r>
    </w:p>
    <w:p>
      <w:pPr>
        <w:pStyle w:val="BodyText"/>
        <w:rPr>
          <w:sz w:val="24"/>
        </w:rPr>
      </w:pPr>
    </w:p>
    <w:p>
      <w:pPr>
        <w:pStyle w:val="ListParagraph"/>
        <w:numPr>
          <w:ilvl w:val="1"/>
          <w:numId w:val="2"/>
        </w:numPr>
        <w:tabs>
          <w:tab w:pos="1200" w:val="left" w:leader="none"/>
        </w:tabs>
        <w:spacing w:line="240" w:lineRule="auto" w:before="0" w:after="0"/>
        <w:ind w:left="1199" w:right="0" w:hanging="337"/>
        <w:jc w:val="left"/>
        <w:rPr>
          <w:sz w:val="22"/>
        </w:rPr>
      </w:pPr>
      <w:r>
        <w:rPr>
          <w:sz w:val="22"/>
        </w:rPr>
        <w:t>Coverage:</w:t>
      </w:r>
    </w:p>
    <w:p>
      <w:pPr>
        <w:pStyle w:val="BodyText"/>
        <w:spacing w:line="259" w:lineRule="auto" w:before="23"/>
        <w:ind w:left="1201" w:right="54" w:firstLine="60"/>
      </w:pPr>
      <w:r>
        <w:rPr>
          <w:w w:val="105"/>
        </w:rPr>
        <w:t>IPA Providers to provide to Covered Persons, those Covered Services in accordance with the Provider Manual, the generally accepted standards of medical practice and care in the IPA Provider's community, the scope of IPA Provider's</w:t>
      </w:r>
      <w:r>
        <w:rPr>
          <w:spacing w:val="-7"/>
          <w:w w:val="105"/>
        </w:rPr>
        <w:t> </w:t>
      </w:r>
      <w:r>
        <w:rPr>
          <w:w w:val="105"/>
        </w:rPr>
        <w:t>license</w:t>
      </w:r>
      <w:r>
        <w:rPr>
          <w:spacing w:val="-25"/>
          <w:w w:val="105"/>
        </w:rPr>
        <w:t> </w:t>
      </w:r>
      <w:r>
        <w:rPr>
          <w:w w:val="105"/>
        </w:rPr>
        <w:t>and</w:t>
      </w:r>
      <w:r>
        <w:rPr>
          <w:spacing w:val="-30"/>
          <w:w w:val="105"/>
        </w:rPr>
        <w:t> </w:t>
      </w:r>
      <w:r>
        <w:rPr>
          <w:w w:val="105"/>
        </w:rPr>
        <w:t>the</w:t>
      </w:r>
      <w:r>
        <w:rPr>
          <w:spacing w:val="-20"/>
          <w:w w:val="105"/>
        </w:rPr>
        <w:t> </w:t>
      </w:r>
      <w:r>
        <w:rPr>
          <w:w w:val="105"/>
        </w:rPr>
        <w:t>terms</w:t>
      </w:r>
      <w:r>
        <w:rPr>
          <w:spacing w:val="-22"/>
          <w:w w:val="105"/>
        </w:rPr>
        <w:t> </w:t>
      </w:r>
      <w:r>
        <w:rPr>
          <w:w w:val="105"/>
        </w:rPr>
        <w:t>and</w:t>
      </w:r>
      <w:r>
        <w:rPr>
          <w:spacing w:val="-20"/>
          <w:w w:val="105"/>
        </w:rPr>
        <w:t> </w:t>
      </w:r>
      <w:r>
        <w:rPr>
          <w:w w:val="105"/>
        </w:rPr>
        <w:t>conditions</w:t>
      </w:r>
      <w:r>
        <w:rPr>
          <w:spacing w:val="-13"/>
          <w:w w:val="105"/>
        </w:rPr>
        <w:t> </w:t>
      </w:r>
      <w:r>
        <w:rPr>
          <w:w w:val="105"/>
        </w:rPr>
        <w:t>of</w:t>
      </w:r>
      <w:r>
        <w:rPr>
          <w:spacing w:val="-28"/>
          <w:w w:val="105"/>
        </w:rPr>
        <w:t> </w:t>
      </w:r>
      <w:r>
        <w:rPr>
          <w:w w:val="105"/>
        </w:rPr>
        <w:t>this</w:t>
      </w:r>
      <w:r>
        <w:rPr>
          <w:spacing w:val="-24"/>
          <w:w w:val="105"/>
        </w:rPr>
        <w:t> </w:t>
      </w:r>
      <w:r>
        <w:rPr>
          <w:w w:val="105"/>
        </w:rPr>
        <w:t>Agreement.</w:t>
      </w:r>
      <w:r>
        <w:rPr>
          <w:spacing w:val="37"/>
          <w:w w:val="105"/>
        </w:rPr>
        <w:t> </w:t>
      </w:r>
      <w:r>
        <w:rPr>
          <w:w w:val="105"/>
        </w:rPr>
        <w:t>IPA</w:t>
      </w:r>
      <w:r>
        <w:rPr>
          <w:spacing w:val="-24"/>
          <w:w w:val="105"/>
        </w:rPr>
        <w:t> </w:t>
      </w:r>
      <w:r>
        <w:rPr>
          <w:w w:val="105"/>
        </w:rPr>
        <w:t>Providers will make necessary and appropriate arrangements to assure the availability of Covered</w:t>
      </w:r>
      <w:r>
        <w:rPr>
          <w:spacing w:val="-20"/>
          <w:w w:val="105"/>
        </w:rPr>
        <w:t> </w:t>
      </w:r>
      <w:r>
        <w:rPr>
          <w:w w:val="105"/>
        </w:rPr>
        <w:t>Services</w:t>
      </w:r>
      <w:r>
        <w:rPr>
          <w:spacing w:val="-23"/>
          <w:w w:val="105"/>
        </w:rPr>
        <w:t> </w:t>
      </w:r>
      <w:r>
        <w:rPr>
          <w:w w:val="105"/>
        </w:rPr>
        <w:t>to</w:t>
      </w:r>
      <w:r>
        <w:rPr>
          <w:spacing w:val="-11"/>
          <w:w w:val="105"/>
        </w:rPr>
        <w:t> </w:t>
      </w:r>
      <w:r>
        <w:rPr>
          <w:w w:val="105"/>
        </w:rPr>
        <w:t>Covered</w:t>
      </w:r>
      <w:r>
        <w:rPr>
          <w:spacing w:val="-19"/>
          <w:w w:val="105"/>
        </w:rPr>
        <w:t> </w:t>
      </w:r>
      <w:r>
        <w:rPr>
          <w:w w:val="105"/>
        </w:rPr>
        <w:t>Persons</w:t>
      </w:r>
      <w:r>
        <w:rPr>
          <w:spacing w:val="-23"/>
          <w:w w:val="105"/>
        </w:rPr>
        <w:t> </w:t>
      </w:r>
      <w:r>
        <w:rPr>
          <w:w w:val="105"/>
        </w:rPr>
        <w:t>on</w:t>
      </w:r>
      <w:r>
        <w:rPr>
          <w:spacing w:val="-26"/>
          <w:w w:val="105"/>
        </w:rPr>
        <w:t> </w:t>
      </w:r>
      <w:r>
        <w:rPr>
          <w:w w:val="105"/>
        </w:rPr>
        <w:t>a</w:t>
      </w:r>
      <w:r>
        <w:rPr>
          <w:spacing w:val="-27"/>
          <w:w w:val="105"/>
        </w:rPr>
        <w:t> </w:t>
      </w:r>
      <w:r>
        <w:rPr>
          <w:w w:val="105"/>
        </w:rPr>
        <w:t>twenty-four</w:t>
      </w:r>
      <w:r>
        <w:rPr>
          <w:spacing w:val="-15"/>
          <w:w w:val="105"/>
        </w:rPr>
        <w:t> </w:t>
      </w:r>
      <w:r>
        <w:rPr>
          <w:w w:val="105"/>
        </w:rPr>
        <w:t>(24)</w:t>
      </w:r>
      <w:r>
        <w:rPr>
          <w:spacing w:val="-21"/>
          <w:w w:val="105"/>
        </w:rPr>
        <w:t> </w:t>
      </w:r>
      <w:r>
        <w:rPr>
          <w:w w:val="105"/>
        </w:rPr>
        <w:t>hour</w:t>
      </w:r>
      <w:r>
        <w:rPr>
          <w:spacing w:val="-22"/>
          <w:w w:val="105"/>
        </w:rPr>
        <w:t> </w:t>
      </w:r>
      <w:r>
        <w:rPr>
          <w:w w:val="105"/>
        </w:rPr>
        <w:t>per</w:t>
      </w:r>
      <w:r>
        <w:rPr>
          <w:spacing w:val="-30"/>
          <w:w w:val="105"/>
        </w:rPr>
        <w:t> </w:t>
      </w:r>
      <w:r>
        <w:rPr>
          <w:w w:val="105"/>
        </w:rPr>
        <w:t>day,</w:t>
      </w:r>
      <w:r>
        <w:rPr>
          <w:spacing w:val="-34"/>
          <w:w w:val="105"/>
        </w:rPr>
        <w:t> </w:t>
      </w:r>
      <w:r>
        <w:rPr>
          <w:w w:val="105"/>
        </w:rPr>
        <w:t>seven</w:t>
      </w:r>
    </w:p>
    <w:p>
      <w:pPr>
        <w:pStyle w:val="BodyText"/>
        <w:spacing w:line="259" w:lineRule="auto" w:before="5"/>
        <w:ind w:left="1206" w:right="384" w:hanging="3"/>
      </w:pPr>
      <w:r>
        <w:rPr/>
        <w:t>(7) day per week basis, including arrangements to assure coverage of Covered Persons after-hours or when IPA Provider is otherwise absent IPA Provider further agrees that such arrangements will_ be with a health care professional that is a Participating Health Care Provider, except in cases where, in the professional judgment of IPA Provider, arrangements should be made with a non-Participating Health Care Provider. (Art. 111.3)</w:t>
      </w:r>
    </w:p>
    <w:p>
      <w:pPr>
        <w:pStyle w:val="BodyText"/>
        <w:spacing w:before="1"/>
        <w:rPr>
          <w:sz w:val="27"/>
        </w:rPr>
      </w:pPr>
    </w:p>
    <w:p>
      <w:pPr>
        <w:pStyle w:val="ListParagraph"/>
        <w:numPr>
          <w:ilvl w:val="1"/>
          <w:numId w:val="2"/>
        </w:numPr>
        <w:tabs>
          <w:tab w:pos="1209" w:val="left" w:leader="none"/>
        </w:tabs>
        <w:spacing w:line="240" w:lineRule="auto" w:before="0" w:after="0"/>
        <w:ind w:left="1208" w:right="0" w:hanging="356"/>
        <w:jc w:val="left"/>
        <w:rPr>
          <w:sz w:val="22"/>
        </w:rPr>
      </w:pPr>
      <w:r>
        <w:rPr>
          <w:sz w:val="22"/>
        </w:rPr>
        <w:t>Accessibility</w:t>
      </w:r>
    </w:p>
    <w:p>
      <w:pPr>
        <w:pStyle w:val="BodyText"/>
        <w:spacing w:line="256" w:lineRule="auto" w:before="23"/>
        <w:ind w:left="1215" w:right="368" w:hanging="5"/>
      </w:pPr>
      <w:r>
        <w:rPr>
          <w:w w:val="105"/>
        </w:rPr>
        <w:t>If</w:t>
      </w:r>
      <w:r>
        <w:rPr>
          <w:spacing w:val="-33"/>
          <w:w w:val="105"/>
        </w:rPr>
        <w:t> </w:t>
      </w:r>
      <w:r>
        <w:rPr>
          <w:spacing w:val="-27"/>
          <w:w w:val="105"/>
        </w:rPr>
        <w:t>Provider</w:t>
      </w:r>
      <w:r>
        <w:rPr>
          <w:spacing w:val="-51"/>
          <w:w w:val="105"/>
        </w:rPr>
        <w:t> </w:t>
      </w:r>
      <w:r>
        <w:rPr>
          <w:w w:val="105"/>
        </w:rPr>
        <w:t>is</w:t>
      </w:r>
      <w:r>
        <w:rPr>
          <w:spacing w:val="-29"/>
          <w:w w:val="105"/>
        </w:rPr>
        <w:t> </w:t>
      </w:r>
      <w:r>
        <w:rPr>
          <w:w w:val="105"/>
        </w:rPr>
        <w:t>a</w:t>
      </w:r>
      <w:r>
        <w:rPr>
          <w:spacing w:val="-31"/>
          <w:w w:val="105"/>
        </w:rPr>
        <w:t> </w:t>
      </w:r>
      <w:r>
        <w:rPr>
          <w:w w:val="105"/>
        </w:rPr>
        <w:t>PCP,</w:t>
      </w:r>
      <w:r>
        <w:rPr>
          <w:spacing w:val="-34"/>
          <w:w w:val="105"/>
        </w:rPr>
        <w:t> </w:t>
      </w:r>
      <w:r>
        <w:rPr>
          <w:w w:val="105"/>
        </w:rPr>
        <w:t>Provider's</w:t>
      </w:r>
      <w:r>
        <w:rPr>
          <w:spacing w:val="-21"/>
          <w:w w:val="105"/>
        </w:rPr>
        <w:t> </w:t>
      </w:r>
      <w:r>
        <w:rPr>
          <w:w w:val="105"/>
        </w:rPr>
        <w:t>services</w:t>
      </w:r>
      <w:r>
        <w:rPr>
          <w:spacing w:val="-25"/>
          <w:w w:val="105"/>
        </w:rPr>
        <w:t> </w:t>
      </w:r>
      <w:r>
        <w:rPr>
          <w:w w:val="105"/>
        </w:rPr>
        <w:t>must</w:t>
      </w:r>
      <w:r>
        <w:rPr>
          <w:spacing w:val="-30"/>
          <w:w w:val="105"/>
        </w:rPr>
        <w:t> </w:t>
      </w:r>
      <w:r>
        <w:rPr>
          <w:w w:val="105"/>
        </w:rPr>
        <w:t>be</w:t>
      </w:r>
      <w:r>
        <w:rPr>
          <w:spacing w:val="-36"/>
          <w:w w:val="105"/>
        </w:rPr>
        <w:t> </w:t>
      </w:r>
      <w:r>
        <w:rPr>
          <w:w w:val="105"/>
        </w:rPr>
        <w:t>accessible</w:t>
      </w:r>
      <w:r>
        <w:rPr>
          <w:spacing w:val="-21"/>
          <w:w w:val="105"/>
        </w:rPr>
        <w:t> </w:t>
      </w:r>
      <w:r>
        <w:rPr>
          <w:w w:val="105"/>
        </w:rPr>
        <w:t>to</w:t>
      </w:r>
      <w:r>
        <w:rPr>
          <w:spacing w:val="-22"/>
          <w:w w:val="105"/>
        </w:rPr>
        <w:t> </w:t>
      </w:r>
      <w:r>
        <w:rPr>
          <w:w w:val="105"/>
        </w:rPr>
        <w:t>Covered</w:t>
      </w:r>
      <w:r>
        <w:rPr>
          <w:spacing w:val="-25"/>
          <w:w w:val="105"/>
        </w:rPr>
        <w:t> </w:t>
      </w:r>
      <w:r>
        <w:rPr>
          <w:w w:val="105"/>
        </w:rPr>
        <w:t>Persons 24 hours per day, 7 days per week, and Provider must have acceptable after- hours telephone availability. (CHIPs, Art. II,</w:t>
      </w:r>
      <w:r>
        <w:rPr>
          <w:spacing w:val="-52"/>
          <w:w w:val="105"/>
        </w:rPr>
        <w:t> </w:t>
      </w:r>
      <w:r>
        <w:rPr>
          <w:w w:val="105"/>
        </w:rPr>
        <w:t>3.3)</w:t>
      </w:r>
    </w:p>
    <w:p>
      <w:pPr>
        <w:spacing w:after="0" w:line="256" w:lineRule="auto"/>
        <w:sectPr>
          <w:pgSz w:w="12240" w:h="15840"/>
          <w:pgMar w:top="1500" w:bottom="0" w:left="1160" w:right="1460"/>
        </w:sectPr>
      </w:pPr>
    </w:p>
    <w:p>
      <w:pPr>
        <w:pStyle w:val="Heading1"/>
        <w:spacing w:before="70"/>
        <w:rPr>
          <w:u w:val="none"/>
        </w:rPr>
      </w:pPr>
      <w:bookmarkStart w:name="Provider Manual" w:id="16"/>
      <w:bookmarkEnd w:id="16"/>
      <w:r>
        <w:rPr>
          <w:b w:val="0"/>
          <w:u w:val="none"/>
        </w:rPr>
      </w:r>
      <w:r>
        <w:rPr>
          <w:u w:val="thick"/>
        </w:rPr>
        <w:t>Provider Manua</w:t>
      </w:r>
      <w:r>
        <w:rPr>
          <w:u w:val="none"/>
        </w:rPr>
        <w:t>l</w:t>
      </w:r>
    </w:p>
    <w:p>
      <w:pPr>
        <w:pStyle w:val="BodyText"/>
        <w:spacing w:before="6"/>
        <w:rPr>
          <w:b/>
          <w:sz w:val="18"/>
        </w:rPr>
      </w:pPr>
    </w:p>
    <w:p>
      <w:pPr>
        <w:pStyle w:val="BodyText"/>
        <w:spacing w:line="249" w:lineRule="auto" w:before="94"/>
        <w:ind w:left="860" w:hanging="3"/>
      </w:pPr>
      <w:r>
        <w:rPr>
          <w:w w:val="95"/>
        </w:rPr>
        <w:t>HEALTH</w:t>
      </w:r>
      <w:r>
        <w:rPr>
          <w:spacing w:val="-31"/>
          <w:w w:val="95"/>
        </w:rPr>
        <w:t> </w:t>
      </w:r>
      <w:r>
        <w:rPr>
          <w:w w:val="95"/>
        </w:rPr>
        <w:t>CARE</w:t>
      </w:r>
      <w:r>
        <w:rPr>
          <w:spacing w:val="-30"/>
          <w:w w:val="95"/>
        </w:rPr>
        <w:t> </w:t>
      </w:r>
      <w:r>
        <w:rPr>
          <w:w w:val="95"/>
        </w:rPr>
        <w:t>PROVIDER</w:t>
      </w:r>
      <w:r>
        <w:rPr>
          <w:spacing w:val="-25"/>
          <w:w w:val="95"/>
        </w:rPr>
        <w:t> </w:t>
      </w:r>
      <w:r>
        <w:rPr>
          <w:w w:val="95"/>
        </w:rPr>
        <w:t>MANUAL</w:t>
      </w:r>
      <w:r>
        <w:rPr>
          <w:spacing w:val="-32"/>
          <w:w w:val="95"/>
        </w:rPr>
        <w:t> </w:t>
      </w:r>
      <w:r>
        <w:rPr>
          <w:w w:val="95"/>
        </w:rPr>
        <w:t>AVAILABLE</w:t>
      </w:r>
      <w:r>
        <w:rPr>
          <w:spacing w:val="-27"/>
          <w:w w:val="95"/>
        </w:rPr>
        <w:t> </w:t>
      </w:r>
      <w:r>
        <w:rPr>
          <w:w w:val="95"/>
        </w:rPr>
        <w:t>PER</w:t>
      </w:r>
      <w:r>
        <w:rPr>
          <w:spacing w:val="-28"/>
          <w:w w:val="95"/>
        </w:rPr>
        <w:t> </w:t>
      </w:r>
      <w:r>
        <w:rPr>
          <w:w w:val="95"/>
        </w:rPr>
        <w:t>REQUEST</w:t>
      </w:r>
      <w:r>
        <w:rPr>
          <w:spacing w:val="-29"/>
          <w:w w:val="95"/>
        </w:rPr>
        <w:t> </w:t>
      </w:r>
      <w:r>
        <w:rPr>
          <w:w w:val="95"/>
        </w:rPr>
        <w:t>FROM</w:t>
      </w:r>
      <w:r>
        <w:rPr>
          <w:spacing w:val="-23"/>
          <w:w w:val="95"/>
        </w:rPr>
        <w:t> </w:t>
      </w:r>
      <w:r>
        <w:rPr>
          <w:w w:val="95"/>
        </w:rPr>
        <w:t>POET</w:t>
      </w:r>
      <w:r>
        <w:rPr>
          <w:spacing w:val="-37"/>
          <w:w w:val="95"/>
        </w:rPr>
        <w:t> </w:t>
      </w:r>
      <w:r>
        <w:rPr>
          <w:w w:val="95"/>
        </w:rPr>
        <w:t>IN </w:t>
      </w:r>
      <w:r>
        <w:rPr/>
        <w:t>ELECTRONIC FORMAT</w:t>
      </w:r>
      <w:r>
        <w:rPr>
          <w:spacing w:val="11"/>
        </w:rPr>
        <w:t> </w:t>
      </w:r>
      <w:r>
        <w:rPr/>
        <w:t>OR</w:t>
      </w:r>
    </w:p>
    <w:p>
      <w:pPr>
        <w:pStyle w:val="BodyText"/>
        <w:spacing w:before="21"/>
        <w:ind w:left="863"/>
      </w:pPr>
      <w:hyperlink r:id="rId11">
        <w:r>
          <w:rPr>
            <w:w w:val="110"/>
            <w:u w:val="thick"/>
          </w:rPr>
          <w:t>http://www.superiorhealthplan.com/files/2011/02/Provider-Manual.pdf</w:t>
        </w:r>
        <w:r>
          <w:rPr>
            <w:w w:val="110"/>
          </w:rPr>
          <w:t>.</w:t>
        </w:r>
      </w:hyperlink>
    </w:p>
    <w:p>
      <w:pPr>
        <w:pStyle w:val="BodyText"/>
        <w:spacing w:before="8"/>
      </w:pPr>
      <w:r>
        <w:rPr/>
        <w:pict>
          <v:group style="position:absolute;margin-left:65.224602pt;margin-top:15.044092pt;width:459.15pt;height:461.9pt;mso-position-horizontal-relative:page;mso-position-vertical-relative:paragraph;z-index:-251650048;mso-wrap-distance-left:0;mso-wrap-distance-right:0" coordorigin="1304,301" coordsize="9183,9238">
            <v:shape style="position:absolute;left:1304;top:639;width:9183;height:8899" type="#_x0000_t75" stroked="false">
              <v:imagedata r:id="rId9" o:title=""/>
            </v:shape>
            <v:shapetype id="_x0000_t202" o:spt="202" coordsize="21600,21600" path="m,l,21600r21600,l21600,xe">
              <v:stroke joinstyle="miter"/>
              <v:path gradientshapeok="t" o:connecttype="rect"/>
            </v:shapetype>
            <v:shape style="position:absolute;left:1304;top:300;width:9183;height:9238" type="#_x0000_t202" filled="false" stroked="false">
              <v:textbox inset="0,0,0,0">
                <w:txbxContent>
                  <w:p>
                    <w:pPr>
                      <w:spacing w:line="252" w:lineRule="auto" w:before="0"/>
                      <w:ind w:left="716" w:right="155" w:firstLine="38"/>
                      <w:jc w:val="left"/>
                      <w:rPr>
                        <w:sz w:val="22"/>
                      </w:rPr>
                    </w:pPr>
                    <w:r>
                      <w:rPr>
                        <w:sz w:val="22"/>
                      </w:rPr>
                      <w:t>IPA will be provided with at least thirty (30) days written notice of material changes to Provider Manual (Art, 11.2)</w:t>
                    </w:r>
                  </w:p>
                  <w:p>
                    <w:pPr>
                      <w:spacing w:line="259" w:lineRule="auto" w:before="4"/>
                      <w:ind w:left="718" w:right="188" w:hanging="8"/>
                      <w:jc w:val="left"/>
                      <w:rPr>
                        <w:sz w:val="22"/>
                      </w:rPr>
                    </w:pPr>
                    <w:r>
                      <w:rPr>
                        <w:w w:val="105"/>
                        <w:sz w:val="22"/>
                      </w:rPr>
                      <w:t>If there is any conflict between the IPA Agreement and the Provider Manual, the Agreement shall control. The Agreement may be amended at any time by mutual written agreement of the parties.</w:t>
                    </w:r>
                  </w:p>
                </w:txbxContent>
              </v:textbox>
              <w10:wrap type="none"/>
            </v:shape>
            <w10:wrap type="topAndBottom"/>
          </v:group>
        </w:pict>
      </w:r>
    </w:p>
    <w:sectPr>
      <w:pgSz w:w="12240" w:h="15840"/>
      <w:pgMar w:top="1420" w:bottom="280" w:left="1160" w:right="14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4"/>
      <w:numFmt w:val="upperRoman"/>
      <w:lvlText w:val="%1."/>
      <w:lvlJc w:val="left"/>
      <w:pPr>
        <w:ind w:left="851" w:hanging="720"/>
        <w:jc w:val="left"/>
      </w:pPr>
      <w:rPr>
        <w:rFonts w:hint="default"/>
        <w:b/>
        <w:bCs/>
        <w:spacing w:val="-3"/>
        <w:w w:val="94"/>
        <w:lang w:val="en-us" w:eastAsia="en-us" w:bidi="en-us"/>
      </w:rPr>
    </w:lvl>
    <w:lvl w:ilvl="1">
      <w:start w:val="1"/>
      <w:numFmt w:val="upperLetter"/>
      <w:lvlText w:val="%2."/>
      <w:lvlJc w:val="left"/>
      <w:pPr>
        <w:ind w:left="1216" w:hanging="358"/>
        <w:jc w:val="left"/>
      </w:pPr>
      <w:rPr>
        <w:rFonts w:hint="default" w:ascii="Arial" w:hAnsi="Arial" w:eastAsia="Arial" w:cs="Arial"/>
        <w:spacing w:val="-2"/>
        <w:w w:val="94"/>
        <w:sz w:val="22"/>
        <w:szCs w:val="22"/>
        <w:lang w:val="en-us" w:eastAsia="en-us" w:bidi="en-us"/>
      </w:rPr>
    </w:lvl>
    <w:lvl w:ilvl="2">
      <w:start w:val="1"/>
      <w:numFmt w:val="decimal"/>
      <w:lvlText w:val="%3."/>
      <w:lvlJc w:val="left"/>
      <w:pPr>
        <w:ind w:left="1591" w:hanging="356"/>
        <w:jc w:val="left"/>
      </w:pPr>
      <w:rPr>
        <w:rFonts w:hint="default" w:ascii="Arial" w:hAnsi="Arial" w:eastAsia="Arial" w:cs="Arial"/>
        <w:spacing w:val="-1"/>
        <w:w w:val="100"/>
        <w:sz w:val="22"/>
        <w:szCs w:val="22"/>
        <w:lang w:val="en-us" w:eastAsia="en-us" w:bidi="en-us"/>
      </w:rPr>
    </w:lvl>
    <w:lvl w:ilvl="3">
      <w:start w:val="0"/>
      <w:numFmt w:val="bullet"/>
      <w:lvlText w:val="•"/>
      <w:lvlJc w:val="left"/>
      <w:pPr>
        <w:ind w:left="1540" w:hanging="356"/>
      </w:pPr>
      <w:rPr>
        <w:rFonts w:hint="default"/>
        <w:lang w:val="en-us" w:eastAsia="en-us" w:bidi="en-us"/>
      </w:rPr>
    </w:lvl>
    <w:lvl w:ilvl="4">
      <w:start w:val="0"/>
      <w:numFmt w:val="bullet"/>
      <w:lvlText w:val="•"/>
      <w:lvlJc w:val="left"/>
      <w:pPr>
        <w:ind w:left="1580" w:hanging="356"/>
      </w:pPr>
      <w:rPr>
        <w:rFonts w:hint="default"/>
        <w:lang w:val="en-us" w:eastAsia="en-us" w:bidi="en-us"/>
      </w:rPr>
    </w:lvl>
    <w:lvl w:ilvl="5">
      <w:start w:val="0"/>
      <w:numFmt w:val="bullet"/>
      <w:lvlText w:val="•"/>
      <w:lvlJc w:val="left"/>
      <w:pPr>
        <w:ind w:left="1600" w:hanging="356"/>
      </w:pPr>
      <w:rPr>
        <w:rFonts w:hint="default"/>
        <w:lang w:val="en-us" w:eastAsia="en-us" w:bidi="en-us"/>
      </w:rPr>
    </w:lvl>
    <w:lvl w:ilvl="6">
      <w:start w:val="0"/>
      <w:numFmt w:val="bullet"/>
      <w:lvlText w:val="•"/>
      <w:lvlJc w:val="left"/>
      <w:pPr>
        <w:ind w:left="3204" w:hanging="356"/>
      </w:pPr>
      <w:rPr>
        <w:rFonts w:hint="default"/>
        <w:lang w:val="en-us" w:eastAsia="en-us" w:bidi="en-us"/>
      </w:rPr>
    </w:lvl>
    <w:lvl w:ilvl="7">
      <w:start w:val="0"/>
      <w:numFmt w:val="bullet"/>
      <w:lvlText w:val="•"/>
      <w:lvlJc w:val="left"/>
      <w:pPr>
        <w:ind w:left="4808" w:hanging="356"/>
      </w:pPr>
      <w:rPr>
        <w:rFonts w:hint="default"/>
        <w:lang w:val="en-us" w:eastAsia="en-us" w:bidi="en-us"/>
      </w:rPr>
    </w:lvl>
    <w:lvl w:ilvl="8">
      <w:start w:val="0"/>
      <w:numFmt w:val="bullet"/>
      <w:lvlText w:val="•"/>
      <w:lvlJc w:val="left"/>
      <w:pPr>
        <w:ind w:left="6412" w:hanging="356"/>
      </w:pPr>
      <w:rPr>
        <w:rFonts w:hint="default"/>
        <w:lang w:val="en-us" w:eastAsia="en-us" w:bidi="en-us"/>
      </w:rPr>
    </w:lvl>
  </w:abstractNum>
  <w:abstractNum w:abstractNumId="0">
    <w:multiLevelType w:val="hybridMultilevel"/>
    <w:lvl w:ilvl="0">
      <w:start w:val="1"/>
      <w:numFmt w:val="upperRoman"/>
      <w:lvlText w:val="%1."/>
      <w:lvlJc w:val="left"/>
      <w:pPr>
        <w:ind w:left="1223" w:hanging="725"/>
        <w:jc w:val="left"/>
      </w:pPr>
      <w:rPr>
        <w:rFonts w:hint="default"/>
        <w:spacing w:val="-1"/>
        <w:w w:val="87"/>
        <w:lang w:val="en-us" w:eastAsia="en-us" w:bidi="en-us"/>
      </w:rPr>
    </w:lvl>
    <w:lvl w:ilvl="1">
      <w:start w:val="1"/>
      <w:numFmt w:val="upperLetter"/>
      <w:lvlText w:val="%2."/>
      <w:lvlJc w:val="left"/>
      <w:pPr>
        <w:ind w:left="1247" w:hanging="360"/>
        <w:jc w:val="left"/>
      </w:pPr>
      <w:rPr>
        <w:rFonts w:hint="default"/>
        <w:spacing w:val="-2"/>
        <w:w w:val="94"/>
        <w:lang w:val="en-us" w:eastAsia="en-us" w:bidi="en-us"/>
      </w:rPr>
    </w:lvl>
    <w:lvl w:ilvl="2">
      <w:start w:val="0"/>
      <w:numFmt w:val="bullet"/>
      <w:lvlText w:val="•"/>
      <w:lvlJc w:val="left"/>
      <w:pPr>
        <w:ind w:left="2173" w:hanging="360"/>
      </w:pPr>
      <w:rPr>
        <w:rFonts w:hint="default"/>
        <w:lang w:val="en-us" w:eastAsia="en-us" w:bidi="en-us"/>
      </w:rPr>
    </w:lvl>
    <w:lvl w:ilvl="3">
      <w:start w:val="0"/>
      <w:numFmt w:val="bullet"/>
      <w:lvlText w:val="•"/>
      <w:lvlJc w:val="left"/>
      <w:pPr>
        <w:ind w:left="3106" w:hanging="360"/>
      </w:pPr>
      <w:rPr>
        <w:rFonts w:hint="default"/>
        <w:lang w:val="en-us" w:eastAsia="en-us" w:bidi="en-us"/>
      </w:rPr>
    </w:lvl>
    <w:lvl w:ilvl="4">
      <w:start w:val="0"/>
      <w:numFmt w:val="bullet"/>
      <w:lvlText w:val="•"/>
      <w:lvlJc w:val="left"/>
      <w:pPr>
        <w:ind w:left="4039" w:hanging="360"/>
      </w:pPr>
      <w:rPr>
        <w:rFonts w:hint="default"/>
        <w:lang w:val="en-us" w:eastAsia="en-us" w:bidi="en-us"/>
      </w:rPr>
    </w:lvl>
    <w:lvl w:ilvl="5">
      <w:start w:val="0"/>
      <w:numFmt w:val="bullet"/>
      <w:lvlText w:val="•"/>
      <w:lvlJc w:val="left"/>
      <w:pPr>
        <w:ind w:left="4972" w:hanging="360"/>
      </w:pPr>
      <w:rPr>
        <w:rFonts w:hint="default"/>
        <w:lang w:val="en-us" w:eastAsia="en-us" w:bidi="en-us"/>
      </w:rPr>
    </w:lvl>
    <w:lvl w:ilvl="6">
      <w:start w:val="0"/>
      <w:numFmt w:val="bullet"/>
      <w:lvlText w:val="•"/>
      <w:lvlJc w:val="left"/>
      <w:pPr>
        <w:ind w:left="5906" w:hanging="360"/>
      </w:pPr>
      <w:rPr>
        <w:rFonts w:hint="default"/>
        <w:lang w:val="en-us" w:eastAsia="en-us" w:bidi="en-us"/>
      </w:rPr>
    </w:lvl>
    <w:lvl w:ilvl="7">
      <w:start w:val="0"/>
      <w:numFmt w:val="bullet"/>
      <w:lvlText w:val="•"/>
      <w:lvlJc w:val="left"/>
      <w:pPr>
        <w:ind w:left="6839" w:hanging="360"/>
      </w:pPr>
      <w:rPr>
        <w:rFonts w:hint="default"/>
        <w:lang w:val="en-us" w:eastAsia="en-us" w:bidi="en-us"/>
      </w:rPr>
    </w:lvl>
    <w:lvl w:ilvl="8">
      <w:start w:val="0"/>
      <w:numFmt w:val="bullet"/>
      <w:lvlText w:val="•"/>
      <w:lvlJc w:val="left"/>
      <w:pPr>
        <w:ind w:left="7772" w:hanging="360"/>
      </w:pPr>
      <w:rPr>
        <w:rFonts w:hint="default"/>
        <w:lang w:val="en-us" w:eastAsia="en-us" w:bidi="en-u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2"/>
      <w:szCs w:val="22"/>
      <w:lang w:val="en-us" w:eastAsia="en-us" w:bidi="en-us"/>
    </w:rPr>
  </w:style>
  <w:style w:styleId="Heading1" w:type="paragraph">
    <w:name w:val="Heading 1"/>
    <w:basedOn w:val="Normal"/>
    <w:uiPriority w:val="1"/>
    <w:qFormat/>
    <w:pPr>
      <w:ind w:left="140"/>
      <w:outlineLvl w:val="1"/>
    </w:pPr>
    <w:rPr>
      <w:rFonts w:ascii="Arial" w:hAnsi="Arial" w:eastAsia="Arial" w:cs="Arial"/>
      <w:b/>
      <w:bCs/>
      <w:sz w:val="23"/>
      <w:szCs w:val="23"/>
      <w:u w:val="single" w:color="000000"/>
      <w:lang w:val="en-us" w:eastAsia="en-us" w:bidi="en-us"/>
    </w:rPr>
  </w:style>
  <w:style w:styleId="Heading2" w:type="paragraph">
    <w:name w:val="Heading 2"/>
    <w:basedOn w:val="Normal"/>
    <w:uiPriority w:val="1"/>
    <w:qFormat/>
    <w:pPr>
      <w:ind w:left="853" w:hanging="726"/>
      <w:outlineLvl w:val="2"/>
    </w:pPr>
    <w:rPr>
      <w:rFonts w:ascii="Arial" w:hAnsi="Arial" w:eastAsia="Arial" w:cs="Arial"/>
      <w:b/>
      <w:bCs/>
      <w:sz w:val="22"/>
      <w:szCs w:val="22"/>
      <w:lang w:val="en-us" w:eastAsia="en-us" w:bidi="en-us"/>
    </w:rPr>
  </w:style>
  <w:style w:styleId="ListParagraph" w:type="paragraph">
    <w:name w:val="List Paragraph"/>
    <w:basedOn w:val="Normal"/>
    <w:uiPriority w:val="1"/>
    <w:qFormat/>
    <w:pPr>
      <w:ind w:left="1223" w:hanging="361"/>
    </w:pPr>
    <w:rPr>
      <w:rFonts w:ascii="Arial" w:hAnsi="Arial" w:eastAsia="Arial" w:cs="Arial"/>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www.superiorhealthhplan.com/" TargetMode="Externa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hyperlink" Target="http://www.superiorhealthplan.com/files/2011/02/Provider-Manual.pdf" TargetMode="Externa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Sandifer</dc:creator>
  <dcterms:created xsi:type="dcterms:W3CDTF">2019-10-30T16:30:13Z</dcterms:created>
  <dcterms:modified xsi:type="dcterms:W3CDTF">2019-10-30T16:30:13Z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Acrobat PDFMaker 11 for Word</vt:lpwstr>
  </property>
  <property fmtid="{D5CDD505-2E9C-101B-9397-08002B2CF9AE}" pid="4" name="LastSaved">
    <vt:filetime>2019-10-30T00:00:00Z</vt:filetime>
  </property>
</Properties>
</file>