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9938B" w14:textId="77777777" w:rsidR="001D0DE3" w:rsidRPr="001D0DE3" w:rsidRDefault="001D0DE3" w:rsidP="001D0DE3">
      <w:pPr>
        <w:shd w:val="clear" w:color="auto" w:fill="FFFFFF"/>
        <w:spacing w:after="0" w:line="495" w:lineRule="atLeast"/>
        <w:rPr>
          <w:rFonts w:ascii="Arial" w:eastAsia="Times New Roman" w:hAnsi="Arial" w:cs="Arial"/>
          <w:color w:val="000000"/>
          <w:sz w:val="24"/>
          <w:szCs w:val="24"/>
        </w:rPr>
      </w:pPr>
      <w:r w:rsidRPr="001D0DE3">
        <w:rPr>
          <w:rFonts w:ascii="Arial" w:eastAsia="Times New Roman" w:hAnsi="Arial" w:cs="Arial"/>
          <w:b/>
          <w:bCs/>
          <w:color w:val="000000"/>
          <w:sz w:val="33"/>
          <w:szCs w:val="33"/>
        </w:rPr>
        <w:t>March 31, 2020</w:t>
      </w:r>
    </w:p>
    <w:p w14:paraId="046E005C" w14:textId="77777777" w:rsidR="001D0DE3" w:rsidRPr="001D0DE3" w:rsidRDefault="001D0DE3" w:rsidP="001D0DE3">
      <w:pPr>
        <w:shd w:val="clear" w:color="auto" w:fill="FFFFFF"/>
        <w:spacing w:after="0" w:line="270" w:lineRule="atLeast"/>
        <w:rPr>
          <w:rFonts w:ascii="Arial" w:eastAsia="Times New Roman" w:hAnsi="Arial" w:cs="Arial"/>
          <w:color w:val="000000"/>
          <w:sz w:val="24"/>
          <w:szCs w:val="24"/>
        </w:rPr>
      </w:pPr>
      <w:r w:rsidRPr="001D0DE3">
        <w:rPr>
          <w:rFonts w:ascii="Arial" w:eastAsia="Times New Roman" w:hAnsi="Arial" w:cs="Arial"/>
          <w:color w:val="000000"/>
          <w:sz w:val="24"/>
          <w:szCs w:val="24"/>
        </w:rPr>
        <w:t> </w:t>
      </w:r>
    </w:p>
    <w:p w14:paraId="0B107A21" w14:textId="77777777" w:rsidR="001D0DE3" w:rsidRPr="001D0DE3" w:rsidRDefault="001D0DE3" w:rsidP="001D0DE3">
      <w:pPr>
        <w:shd w:val="clear" w:color="auto" w:fill="FFFFFF"/>
        <w:spacing w:after="0" w:line="240" w:lineRule="auto"/>
        <w:rPr>
          <w:rFonts w:ascii="Arial" w:eastAsia="Times New Roman" w:hAnsi="Arial" w:cs="Arial"/>
          <w:color w:val="000000"/>
          <w:sz w:val="24"/>
          <w:szCs w:val="24"/>
        </w:rPr>
      </w:pPr>
      <w:r w:rsidRPr="001D0DE3">
        <w:rPr>
          <w:rFonts w:ascii="Arial" w:eastAsia="Times New Roman" w:hAnsi="Arial" w:cs="Arial"/>
          <w:color w:val="000000"/>
          <w:sz w:val="24"/>
          <w:szCs w:val="24"/>
        </w:rPr>
        <w:t> </w:t>
      </w:r>
    </w:p>
    <w:p w14:paraId="1229FA04" w14:textId="77777777" w:rsidR="001D0DE3" w:rsidRPr="001D0DE3" w:rsidRDefault="001D0DE3" w:rsidP="001D0DE3">
      <w:pPr>
        <w:shd w:val="clear" w:color="auto" w:fill="FFFFFF"/>
        <w:spacing w:after="0" w:line="276" w:lineRule="atLeast"/>
        <w:rPr>
          <w:rFonts w:ascii="Arial" w:eastAsia="Times New Roman" w:hAnsi="Arial" w:cs="Arial"/>
          <w:color w:val="000000"/>
          <w:sz w:val="24"/>
          <w:szCs w:val="24"/>
        </w:rPr>
      </w:pPr>
      <w:r w:rsidRPr="001D0DE3">
        <w:rPr>
          <w:rFonts w:ascii="Arial" w:eastAsia="Times New Roman" w:hAnsi="Arial" w:cs="Arial"/>
          <w:b/>
          <w:bCs/>
          <w:color w:val="000000"/>
          <w:sz w:val="24"/>
          <w:szCs w:val="24"/>
        </w:rPr>
        <w:t>Regulatory alert: CMS announces new flexibilities</w:t>
      </w:r>
    </w:p>
    <w:p w14:paraId="6F691D81" w14:textId="77777777" w:rsidR="001D0DE3" w:rsidRPr="001D0DE3" w:rsidRDefault="001D0DE3" w:rsidP="001D0DE3">
      <w:pPr>
        <w:shd w:val="clear" w:color="auto" w:fill="FFFFFF"/>
        <w:spacing w:after="0" w:line="240" w:lineRule="auto"/>
        <w:rPr>
          <w:rFonts w:ascii="Arial" w:eastAsia="Times New Roman" w:hAnsi="Arial" w:cs="Arial"/>
          <w:color w:val="000000"/>
          <w:sz w:val="24"/>
          <w:szCs w:val="24"/>
        </w:rPr>
      </w:pPr>
      <w:r w:rsidRPr="001D0DE3">
        <w:rPr>
          <w:rFonts w:ascii="Arial" w:eastAsia="Times New Roman" w:hAnsi="Arial" w:cs="Arial"/>
          <w:color w:val="000000"/>
          <w:sz w:val="24"/>
          <w:szCs w:val="24"/>
        </w:rPr>
        <w:t> </w:t>
      </w:r>
    </w:p>
    <w:p w14:paraId="2E9DC497" w14:textId="77777777" w:rsidR="001D0DE3" w:rsidRPr="001D0DE3" w:rsidRDefault="001D0DE3" w:rsidP="001D0DE3">
      <w:pPr>
        <w:shd w:val="clear" w:color="auto" w:fill="FFFFFF"/>
        <w:spacing w:after="0" w:line="240" w:lineRule="auto"/>
        <w:rPr>
          <w:rFonts w:ascii="Arial" w:eastAsia="Times New Roman" w:hAnsi="Arial" w:cs="Arial"/>
          <w:color w:val="000000"/>
          <w:sz w:val="24"/>
          <w:szCs w:val="24"/>
        </w:rPr>
      </w:pPr>
      <w:r w:rsidRPr="001D0DE3">
        <w:rPr>
          <w:rFonts w:ascii="Arial" w:eastAsia="Times New Roman" w:hAnsi="Arial" w:cs="Arial"/>
          <w:color w:val="000000"/>
          <w:sz w:val="24"/>
          <w:szCs w:val="24"/>
        </w:rPr>
        <w:t>Last night, the Centers for Medicare &amp; Medicaid Services (CMS) </w:t>
      </w:r>
      <w:hyperlink r:id="rId5" w:tgtFrame="_blank" w:history="1">
        <w:r w:rsidRPr="001D0DE3">
          <w:rPr>
            <w:rFonts w:ascii="Arial" w:eastAsia="Times New Roman" w:hAnsi="Arial" w:cs="Arial"/>
            <w:color w:val="FF6A00"/>
            <w:sz w:val="24"/>
            <w:szCs w:val="24"/>
            <w:u w:val="single"/>
          </w:rPr>
          <w:t>issued</w:t>
        </w:r>
      </w:hyperlink>
      <w:r w:rsidRPr="001D0DE3">
        <w:rPr>
          <w:rFonts w:ascii="Arial" w:eastAsia="Times New Roman" w:hAnsi="Arial" w:cs="Arial"/>
          <w:color w:val="000000"/>
          <w:sz w:val="24"/>
          <w:szCs w:val="24"/>
        </w:rPr>
        <w:t> a series of temporary regulatory waivers to further support the ability of the nation’s healthcare system to respond to COVID-19. The changes outlined below will take effect immediately across the entire country:</w:t>
      </w:r>
    </w:p>
    <w:p w14:paraId="758BAFE4" w14:textId="77777777" w:rsidR="001D0DE3" w:rsidRPr="001D0DE3" w:rsidRDefault="001D0DE3" w:rsidP="001D0DE3">
      <w:pPr>
        <w:numPr>
          <w:ilvl w:val="0"/>
          <w:numId w:val="1"/>
        </w:numPr>
        <w:shd w:val="clear" w:color="auto" w:fill="FFFFFF"/>
        <w:spacing w:after="0" w:line="240" w:lineRule="auto"/>
        <w:ind w:left="945"/>
        <w:rPr>
          <w:rFonts w:ascii="Arial" w:eastAsia="Times New Roman" w:hAnsi="Arial" w:cs="Arial"/>
          <w:color w:val="000000"/>
          <w:sz w:val="24"/>
          <w:szCs w:val="24"/>
        </w:rPr>
      </w:pPr>
      <w:r w:rsidRPr="001D0DE3">
        <w:rPr>
          <w:rFonts w:ascii="Arial" w:eastAsia="Times New Roman" w:hAnsi="Arial" w:cs="Arial"/>
          <w:b/>
          <w:bCs/>
          <w:color w:val="000000"/>
          <w:sz w:val="24"/>
          <w:szCs w:val="24"/>
        </w:rPr>
        <w:t>New telehealth codes.</w:t>
      </w:r>
      <w:r w:rsidRPr="001D0DE3">
        <w:rPr>
          <w:rFonts w:ascii="Arial" w:eastAsia="Times New Roman" w:hAnsi="Arial" w:cs="Arial"/>
          <w:color w:val="000000"/>
          <w:sz w:val="24"/>
          <w:szCs w:val="24"/>
        </w:rPr>
        <w:t> CMS will pay for 80 additional telehealth codes, including home visits, emergency department visits, and therapy services. Providers can waive copayments for all telehealth services for Original Medicare beneficiaries.</w:t>
      </w:r>
    </w:p>
    <w:p w14:paraId="0AE7B245" w14:textId="77777777" w:rsidR="001D0DE3" w:rsidRPr="001D0DE3" w:rsidRDefault="001D0DE3" w:rsidP="001D0DE3">
      <w:pPr>
        <w:numPr>
          <w:ilvl w:val="0"/>
          <w:numId w:val="1"/>
        </w:numPr>
        <w:shd w:val="clear" w:color="auto" w:fill="FFFFFF"/>
        <w:spacing w:after="0" w:line="240" w:lineRule="auto"/>
        <w:ind w:left="945"/>
        <w:rPr>
          <w:rFonts w:ascii="Arial" w:eastAsia="Times New Roman" w:hAnsi="Arial" w:cs="Arial"/>
          <w:color w:val="000000"/>
          <w:sz w:val="24"/>
          <w:szCs w:val="24"/>
        </w:rPr>
      </w:pPr>
      <w:r w:rsidRPr="001D0DE3">
        <w:rPr>
          <w:rFonts w:ascii="Arial" w:eastAsia="Times New Roman" w:hAnsi="Arial" w:cs="Arial"/>
          <w:b/>
          <w:bCs/>
          <w:color w:val="000000"/>
          <w:sz w:val="24"/>
          <w:szCs w:val="24"/>
        </w:rPr>
        <w:t>Virtual check-ins.</w:t>
      </w:r>
      <w:r w:rsidRPr="001D0DE3">
        <w:rPr>
          <w:rFonts w:ascii="Arial" w:eastAsia="Times New Roman" w:hAnsi="Arial" w:cs="Arial"/>
          <w:color w:val="000000"/>
          <w:sz w:val="24"/>
          <w:szCs w:val="24"/>
        </w:rPr>
        <w:t> Clinicians can provide virtual check-in services (HCPCS G2012, G2010) to both </w:t>
      </w:r>
      <w:r w:rsidRPr="001D0DE3">
        <w:rPr>
          <w:rFonts w:ascii="Arial" w:eastAsia="Times New Roman" w:hAnsi="Arial" w:cs="Arial"/>
          <w:color w:val="000000"/>
          <w:sz w:val="24"/>
          <w:szCs w:val="24"/>
          <w:u w:val="single"/>
        </w:rPr>
        <w:t>new</w:t>
      </w:r>
      <w:r w:rsidRPr="001D0DE3">
        <w:rPr>
          <w:rFonts w:ascii="Arial" w:eastAsia="Times New Roman" w:hAnsi="Arial" w:cs="Arial"/>
          <w:color w:val="000000"/>
          <w:sz w:val="24"/>
          <w:szCs w:val="24"/>
        </w:rPr>
        <w:t> and established patients. Previously, these services were limited to established patients only.</w:t>
      </w:r>
    </w:p>
    <w:p w14:paraId="75AEBF07" w14:textId="77777777" w:rsidR="001D0DE3" w:rsidRPr="001D0DE3" w:rsidRDefault="001D0DE3" w:rsidP="001D0DE3">
      <w:pPr>
        <w:numPr>
          <w:ilvl w:val="0"/>
          <w:numId w:val="1"/>
        </w:numPr>
        <w:shd w:val="clear" w:color="auto" w:fill="FFFFFF"/>
        <w:spacing w:after="0" w:line="240" w:lineRule="auto"/>
        <w:ind w:left="945"/>
        <w:rPr>
          <w:rFonts w:ascii="Arial" w:eastAsia="Times New Roman" w:hAnsi="Arial" w:cs="Arial"/>
          <w:color w:val="000000"/>
          <w:sz w:val="24"/>
          <w:szCs w:val="24"/>
        </w:rPr>
      </w:pPr>
      <w:r w:rsidRPr="001D0DE3">
        <w:rPr>
          <w:rFonts w:ascii="Arial" w:eastAsia="Times New Roman" w:hAnsi="Arial" w:cs="Arial"/>
          <w:b/>
          <w:bCs/>
          <w:color w:val="000000"/>
          <w:sz w:val="24"/>
          <w:szCs w:val="24"/>
        </w:rPr>
        <w:t>Telephone codes.</w:t>
      </w:r>
      <w:r w:rsidRPr="001D0DE3">
        <w:rPr>
          <w:rFonts w:ascii="Arial" w:eastAsia="Times New Roman" w:hAnsi="Arial" w:cs="Arial"/>
          <w:color w:val="000000"/>
          <w:sz w:val="24"/>
          <w:szCs w:val="24"/>
        </w:rPr>
        <w:t> CMS will reimburse for telephone evaluation and management services provided by a physician (CPT 99441-99443) and telephone assessment and management services provided by a qualified nonphysician healthcare professional (CPT 98966-98968). These codes are only available to established patients but may be furnished using audio-only devices.</w:t>
      </w:r>
    </w:p>
    <w:p w14:paraId="4BE37810" w14:textId="77777777" w:rsidR="001D0DE3" w:rsidRPr="001D0DE3" w:rsidRDefault="001D0DE3" w:rsidP="001D0DE3">
      <w:pPr>
        <w:numPr>
          <w:ilvl w:val="0"/>
          <w:numId w:val="1"/>
        </w:numPr>
        <w:shd w:val="clear" w:color="auto" w:fill="FFFFFF"/>
        <w:spacing w:after="0" w:line="240" w:lineRule="auto"/>
        <w:ind w:left="945"/>
        <w:rPr>
          <w:rFonts w:ascii="Arial" w:eastAsia="Times New Roman" w:hAnsi="Arial" w:cs="Arial"/>
          <w:color w:val="000000"/>
          <w:sz w:val="24"/>
          <w:szCs w:val="24"/>
        </w:rPr>
      </w:pPr>
      <w:r w:rsidRPr="001D0DE3">
        <w:rPr>
          <w:rFonts w:ascii="Arial" w:eastAsia="Times New Roman" w:hAnsi="Arial" w:cs="Arial"/>
          <w:b/>
          <w:bCs/>
          <w:color w:val="000000"/>
          <w:sz w:val="24"/>
          <w:szCs w:val="24"/>
        </w:rPr>
        <w:t>E-visits.</w:t>
      </w:r>
      <w:r w:rsidRPr="001D0DE3">
        <w:rPr>
          <w:rFonts w:ascii="Arial" w:eastAsia="Times New Roman" w:hAnsi="Arial" w:cs="Arial"/>
          <w:color w:val="000000"/>
          <w:sz w:val="24"/>
          <w:szCs w:val="24"/>
        </w:rPr>
        <w:t> Licensed clinical social workers, clinical psychologists, physical therapists, occupational therapists, and speech language pathologists can provide e-visits (HCPCS G2061-G2063). These codes are only available to established patients and must be initiated by the patient.</w:t>
      </w:r>
    </w:p>
    <w:p w14:paraId="7081D5DA" w14:textId="77777777" w:rsidR="001D0DE3" w:rsidRPr="001D0DE3" w:rsidRDefault="001D0DE3" w:rsidP="001D0DE3">
      <w:pPr>
        <w:numPr>
          <w:ilvl w:val="0"/>
          <w:numId w:val="1"/>
        </w:numPr>
        <w:shd w:val="clear" w:color="auto" w:fill="FFFFFF"/>
        <w:spacing w:after="0" w:line="240" w:lineRule="auto"/>
        <w:ind w:left="945"/>
        <w:rPr>
          <w:rFonts w:ascii="Arial" w:eastAsia="Times New Roman" w:hAnsi="Arial" w:cs="Arial"/>
          <w:color w:val="000000"/>
          <w:sz w:val="24"/>
          <w:szCs w:val="24"/>
        </w:rPr>
      </w:pPr>
      <w:r w:rsidRPr="001D0DE3">
        <w:rPr>
          <w:rFonts w:ascii="Arial" w:eastAsia="Times New Roman" w:hAnsi="Arial" w:cs="Arial"/>
          <w:b/>
          <w:bCs/>
          <w:color w:val="000000"/>
          <w:sz w:val="24"/>
          <w:szCs w:val="24"/>
        </w:rPr>
        <w:t>Removal of frequency limitations on Medicare telehealth.</w:t>
      </w:r>
      <w:r w:rsidRPr="001D0DE3">
        <w:rPr>
          <w:rFonts w:ascii="Arial" w:eastAsia="Times New Roman" w:hAnsi="Arial" w:cs="Arial"/>
          <w:color w:val="000000"/>
          <w:sz w:val="24"/>
          <w:szCs w:val="24"/>
        </w:rPr>
        <w:t> Subsequent inpatient visits (CPT 99231-99233), subsequent skilled nursing visits (CPT 99307-99310), and critical care consult codes (CPT G0508-G0509) no longer have limitations on the number of times they can be billed.</w:t>
      </w:r>
    </w:p>
    <w:p w14:paraId="3FF5F672" w14:textId="77777777" w:rsidR="001D0DE3" w:rsidRPr="001D0DE3" w:rsidRDefault="001D0DE3" w:rsidP="001D0DE3">
      <w:pPr>
        <w:numPr>
          <w:ilvl w:val="0"/>
          <w:numId w:val="1"/>
        </w:numPr>
        <w:shd w:val="clear" w:color="auto" w:fill="FFFFFF"/>
        <w:spacing w:after="0" w:line="240" w:lineRule="auto"/>
        <w:ind w:left="945"/>
        <w:rPr>
          <w:rFonts w:ascii="Arial" w:eastAsia="Times New Roman" w:hAnsi="Arial" w:cs="Arial"/>
          <w:color w:val="000000"/>
          <w:sz w:val="24"/>
          <w:szCs w:val="24"/>
        </w:rPr>
      </w:pPr>
      <w:r w:rsidRPr="001D0DE3">
        <w:rPr>
          <w:rFonts w:ascii="Arial" w:eastAsia="Times New Roman" w:hAnsi="Arial" w:cs="Arial"/>
          <w:b/>
          <w:bCs/>
          <w:color w:val="000000"/>
          <w:sz w:val="24"/>
          <w:szCs w:val="24"/>
        </w:rPr>
        <w:t>Medicare physician supervision requirements.</w:t>
      </w:r>
      <w:r w:rsidRPr="001D0DE3">
        <w:rPr>
          <w:rFonts w:ascii="Arial" w:eastAsia="Times New Roman" w:hAnsi="Arial" w:cs="Arial"/>
          <w:color w:val="000000"/>
          <w:sz w:val="24"/>
          <w:szCs w:val="24"/>
        </w:rPr>
        <w:t> Physician supervision can be provided virtually using real-time audio/visual technology for services requiring direct supervision by a physician or other practitioner.</w:t>
      </w:r>
    </w:p>
    <w:p w14:paraId="59FC3CC5" w14:textId="77777777" w:rsidR="001D0DE3" w:rsidRPr="001D0DE3" w:rsidRDefault="001D0DE3" w:rsidP="001D0DE3">
      <w:pPr>
        <w:numPr>
          <w:ilvl w:val="0"/>
          <w:numId w:val="1"/>
        </w:numPr>
        <w:shd w:val="clear" w:color="auto" w:fill="FFFFFF"/>
        <w:spacing w:after="0" w:line="240" w:lineRule="auto"/>
        <w:ind w:left="945"/>
        <w:rPr>
          <w:rFonts w:ascii="Arial" w:eastAsia="Times New Roman" w:hAnsi="Arial" w:cs="Arial"/>
          <w:color w:val="000000"/>
          <w:sz w:val="24"/>
          <w:szCs w:val="24"/>
        </w:rPr>
      </w:pPr>
      <w:r w:rsidRPr="001D0DE3">
        <w:rPr>
          <w:rFonts w:ascii="Arial" w:eastAsia="Times New Roman" w:hAnsi="Arial" w:cs="Arial"/>
          <w:b/>
          <w:bCs/>
          <w:color w:val="000000"/>
          <w:sz w:val="24"/>
          <w:szCs w:val="24"/>
        </w:rPr>
        <w:t>“Stark Law” </w:t>
      </w:r>
      <w:hyperlink r:id="rId6" w:tgtFrame="_blank" w:history="1">
        <w:r w:rsidRPr="001D0DE3">
          <w:rPr>
            <w:rFonts w:ascii="Arial" w:eastAsia="Times New Roman" w:hAnsi="Arial" w:cs="Arial"/>
            <w:b/>
            <w:bCs/>
            <w:color w:val="FF6A00"/>
            <w:sz w:val="24"/>
            <w:szCs w:val="24"/>
            <w:u w:val="single"/>
          </w:rPr>
          <w:t>waivers</w:t>
        </w:r>
      </w:hyperlink>
      <w:r w:rsidRPr="001D0DE3">
        <w:rPr>
          <w:rFonts w:ascii="Arial" w:eastAsia="Times New Roman" w:hAnsi="Arial" w:cs="Arial"/>
          <w:b/>
          <w:bCs/>
          <w:color w:val="000000"/>
          <w:sz w:val="24"/>
          <w:szCs w:val="24"/>
        </w:rPr>
        <w:t>.</w:t>
      </w:r>
      <w:r w:rsidRPr="001D0DE3">
        <w:rPr>
          <w:rFonts w:ascii="Arial" w:eastAsia="Times New Roman" w:hAnsi="Arial" w:cs="Arial"/>
          <w:color w:val="000000"/>
          <w:sz w:val="24"/>
          <w:szCs w:val="24"/>
        </w:rPr>
        <w:t> CMS is implementing waivers that exempt providers from sanctions for noncompliance of certain Stark Law rules, permitting certain referrals and the submission of related claims that would otherwise violate the Stark Law.</w:t>
      </w:r>
    </w:p>
    <w:p w14:paraId="3CB424BD" w14:textId="77777777" w:rsidR="001D0DE3" w:rsidRPr="001D0DE3" w:rsidRDefault="001D0DE3" w:rsidP="001D0DE3">
      <w:pPr>
        <w:numPr>
          <w:ilvl w:val="0"/>
          <w:numId w:val="1"/>
        </w:numPr>
        <w:shd w:val="clear" w:color="auto" w:fill="FFFFFF"/>
        <w:spacing w:after="0" w:line="240" w:lineRule="auto"/>
        <w:ind w:left="945"/>
        <w:rPr>
          <w:rFonts w:ascii="Arial" w:eastAsia="Times New Roman" w:hAnsi="Arial" w:cs="Arial"/>
          <w:color w:val="000000"/>
          <w:sz w:val="24"/>
          <w:szCs w:val="24"/>
        </w:rPr>
      </w:pPr>
      <w:r w:rsidRPr="001D0DE3">
        <w:rPr>
          <w:rFonts w:ascii="Arial" w:eastAsia="Times New Roman" w:hAnsi="Arial" w:cs="Arial"/>
          <w:b/>
          <w:bCs/>
          <w:color w:val="000000"/>
          <w:sz w:val="24"/>
          <w:szCs w:val="24"/>
        </w:rPr>
        <w:t>MIPS </w:t>
      </w:r>
      <w:hyperlink r:id="rId7" w:tgtFrame="_blank" w:history="1">
        <w:r w:rsidRPr="001D0DE3">
          <w:rPr>
            <w:rFonts w:ascii="Arial" w:eastAsia="Times New Roman" w:hAnsi="Arial" w:cs="Arial"/>
            <w:b/>
            <w:bCs/>
            <w:color w:val="FF6A00"/>
            <w:sz w:val="24"/>
            <w:szCs w:val="24"/>
            <w:u w:val="single"/>
          </w:rPr>
          <w:t>flexibilities</w:t>
        </w:r>
      </w:hyperlink>
      <w:r w:rsidRPr="001D0DE3">
        <w:rPr>
          <w:rFonts w:ascii="Arial" w:eastAsia="Times New Roman" w:hAnsi="Arial" w:cs="Arial"/>
          <w:b/>
          <w:bCs/>
          <w:color w:val="000000"/>
          <w:sz w:val="24"/>
          <w:szCs w:val="24"/>
        </w:rPr>
        <w:t>.</w:t>
      </w:r>
      <w:r w:rsidRPr="001D0DE3">
        <w:rPr>
          <w:rFonts w:ascii="Arial" w:eastAsia="Times New Roman" w:hAnsi="Arial" w:cs="Arial"/>
          <w:color w:val="000000"/>
          <w:sz w:val="24"/>
          <w:szCs w:val="24"/>
        </w:rPr>
        <w:t xml:space="preserve"> CMS will allow clinicians adversely affected by COVID-19 to </w:t>
      </w:r>
      <w:proofErr w:type="gramStart"/>
      <w:r w:rsidRPr="001D0DE3">
        <w:rPr>
          <w:rFonts w:ascii="Arial" w:eastAsia="Times New Roman" w:hAnsi="Arial" w:cs="Arial"/>
          <w:color w:val="000000"/>
          <w:sz w:val="24"/>
          <w:szCs w:val="24"/>
        </w:rPr>
        <w:t>submit an application</w:t>
      </w:r>
      <w:proofErr w:type="gramEnd"/>
      <w:r w:rsidRPr="001D0DE3">
        <w:rPr>
          <w:rFonts w:ascii="Arial" w:eastAsia="Times New Roman" w:hAnsi="Arial" w:cs="Arial"/>
          <w:color w:val="000000"/>
          <w:sz w:val="24"/>
          <w:szCs w:val="24"/>
        </w:rPr>
        <w:t xml:space="preserve"> to request reweighting of the MIPS performance categories for the 2019 performance year.</w:t>
      </w:r>
    </w:p>
    <w:p w14:paraId="65F231F6" w14:textId="77777777" w:rsidR="001D0DE3" w:rsidRPr="001D0DE3" w:rsidRDefault="001D0DE3" w:rsidP="001D0DE3">
      <w:pPr>
        <w:shd w:val="clear" w:color="auto" w:fill="FFFFFF"/>
        <w:spacing w:after="0" w:line="240" w:lineRule="auto"/>
        <w:rPr>
          <w:rFonts w:ascii="Arial" w:eastAsia="Times New Roman" w:hAnsi="Arial" w:cs="Arial"/>
          <w:color w:val="000000"/>
          <w:sz w:val="24"/>
          <w:szCs w:val="24"/>
        </w:rPr>
      </w:pPr>
      <w:r w:rsidRPr="001D0DE3">
        <w:rPr>
          <w:rFonts w:ascii="Arial" w:eastAsia="Times New Roman" w:hAnsi="Arial" w:cs="Arial"/>
          <w:color w:val="000000"/>
          <w:sz w:val="24"/>
          <w:szCs w:val="24"/>
        </w:rPr>
        <w:t>MGMA Government Affairs will continue to educate medical groups as the Administration releases additional waivers and further guidance on COVID-19 related regulatory changes. </w:t>
      </w:r>
      <w:r w:rsidRPr="001D0DE3">
        <w:rPr>
          <w:rFonts w:ascii="Arial" w:eastAsia="Times New Roman" w:hAnsi="Arial" w:cs="Arial"/>
          <w:b/>
          <w:bCs/>
          <w:color w:val="000000"/>
          <w:sz w:val="24"/>
          <w:szCs w:val="24"/>
        </w:rPr>
        <w:t>For a comprehensive list of Medicare telehealth waivers and regulatory developments, please </w:t>
      </w:r>
      <w:hyperlink r:id="rId8" w:tgtFrame="_blank" w:history="1">
        <w:r w:rsidRPr="001D0DE3">
          <w:rPr>
            <w:rFonts w:ascii="Arial" w:eastAsia="Times New Roman" w:hAnsi="Arial" w:cs="Arial"/>
            <w:b/>
            <w:bCs/>
            <w:color w:val="FF6A00"/>
            <w:sz w:val="24"/>
            <w:szCs w:val="24"/>
            <w:u w:val="single"/>
          </w:rPr>
          <w:t>click here</w:t>
        </w:r>
      </w:hyperlink>
      <w:r w:rsidRPr="001D0DE3">
        <w:rPr>
          <w:rFonts w:ascii="Arial" w:eastAsia="Times New Roman" w:hAnsi="Arial" w:cs="Arial"/>
          <w:b/>
          <w:bCs/>
          <w:color w:val="000000"/>
          <w:sz w:val="24"/>
          <w:szCs w:val="24"/>
        </w:rPr>
        <w:t>.</w:t>
      </w:r>
    </w:p>
    <w:p w14:paraId="640C864D" w14:textId="77777777" w:rsidR="008629FE" w:rsidRDefault="008629FE">
      <w:bookmarkStart w:id="0" w:name="_GoBack"/>
      <w:bookmarkEnd w:id="0"/>
    </w:p>
    <w:sectPr w:rsidR="008629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D936D2"/>
    <w:multiLevelType w:val="multilevel"/>
    <w:tmpl w:val="B8D8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DE3"/>
    <w:rsid w:val="001D0DE3"/>
    <w:rsid w:val="00862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C9D4D"/>
  <w15:chartTrackingRefBased/>
  <w15:docId w15:val="{E1CF5DA0-71BA-4D53-A406-EBF9CD45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23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279951500.t.en25.com/e/er?utm_campaign=government-affairs&amp;utm_medium=email&amp;utm_source=3.31.20%20Regulatory%20Alert&amp;elqEmailId=10016&amp;s=1279951500&amp;lid=3828&amp;elqTrackId=0CE9FAA929DC06AC00CB9D757A771C81&amp;elq=17e1e78b688941de910f797225754d7e&amp;elqaid=10016&amp;elqat=1" TargetMode="External"/><Relationship Id="rId3" Type="http://schemas.openxmlformats.org/officeDocument/2006/relationships/settings" Target="settings.xml"/><Relationship Id="rId7" Type="http://schemas.openxmlformats.org/officeDocument/2006/relationships/hyperlink" Target="http://s1279951500.t.en25.com/e/er?utm_campaign=government-affairs&amp;utm_medium=email&amp;utm_source=3.31.20%20Regulatory%20Alert&amp;elqEmailId=10016&amp;s=1279951500&amp;lid=3819&amp;elqTrackId=AA2CB55A655C8F290EA7F000532B29CD&amp;elq=17e1e78b688941de910f797225754d7e&amp;elqaid=10016&amp;elqat=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279951500.t.en25.com/e/er?utm_campaign=government-affairs&amp;utm_medium=email&amp;utm_source=3.31.20%20Regulatory%20Alert&amp;elqEmailId=10016&amp;s=1279951500&amp;lid=3829&amp;elqTrackId=0D317C33B30AC17A55D31803EC71A7FD&amp;elq=17e1e78b688941de910f797225754d7e&amp;elqaid=10016&amp;elqat=1" TargetMode="External"/><Relationship Id="rId5" Type="http://schemas.openxmlformats.org/officeDocument/2006/relationships/hyperlink" Target="http://s1279951500.t.en25.com/e/er?utm_campaign=government-affairs&amp;utm_medium=email&amp;utm_source=3.31.20%20Regulatory%20Alert&amp;elqEmailId=10016&amp;s=1279951500&amp;lid=3830&amp;elqTrackId=62821DA80227B5FB0F90CD48FE7C4FAC&amp;elq=17e1e78b688941de910f797225754d7e&amp;elqaid=10016&amp;elqat=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568</Words>
  <Characters>3239</Characters>
  <Application>Microsoft Office Word</Application>
  <DocSecurity>0</DocSecurity>
  <Lines>26</Lines>
  <Paragraphs>7</Paragraphs>
  <ScaleCrop>false</ScaleCrop>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clonts</dc:creator>
  <cp:keywords/>
  <dc:description/>
  <cp:lastModifiedBy>rhonda clonts</cp:lastModifiedBy>
  <cp:revision>1</cp:revision>
  <dcterms:created xsi:type="dcterms:W3CDTF">2020-03-31T17:12:00Z</dcterms:created>
  <dcterms:modified xsi:type="dcterms:W3CDTF">2020-03-31T17:14:00Z</dcterms:modified>
</cp:coreProperties>
</file>