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3A519" w14:textId="07D9D1F1" w:rsidR="006A05EA" w:rsidRDefault="006A05EA" w:rsidP="006A05EA">
      <w:pPr>
        <w:shd w:val="clear" w:color="auto" w:fill="FFFFFF"/>
        <w:spacing w:after="15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noProof/>
          <w:color w:val="333333"/>
          <w:sz w:val="23"/>
          <w:szCs w:val="23"/>
        </w:rPr>
        <w:drawing>
          <wp:inline distT="0" distB="0" distL="0" distR="0" wp14:anchorId="40A7C880" wp14:editId="383C9982">
            <wp:extent cx="5715000" cy="3810000"/>
            <wp:effectExtent l="0" t="0" r="0" b="0"/>
            <wp:docPr id="1" name="Picture 1" descr="BCBSTX_Prea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CBSTX_Preauth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19EAE" w14:textId="77777777" w:rsidR="006A05EA" w:rsidRDefault="006A05EA" w:rsidP="006A05EA">
      <w:pPr>
        <w:shd w:val="clear" w:color="auto" w:fill="FFFFFF"/>
        <w:spacing w:after="150"/>
        <w:rPr>
          <w:rFonts w:ascii="Roboto Condensed" w:hAnsi="Roboto Condensed"/>
          <w:b/>
          <w:bCs/>
          <w:color w:val="666D70"/>
          <w:sz w:val="36"/>
          <w:szCs w:val="36"/>
        </w:rPr>
      </w:pPr>
      <w:r>
        <w:rPr>
          <w:rFonts w:ascii="Roboto Condensed" w:hAnsi="Roboto Condensed"/>
          <w:b/>
          <w:bCs/>
          <w:color w:val="666D70"/>
          <w:sz w:val="36"/>
          <w:szCs w:val="36"/>
        </w:rPr>
        <w:t>Throughout the COVID-19 pandemic, health plans in Texas have adopted various temporary deadlines and extensions as part of their coronavirus policies.</w:t>
      </w:r>
    </w:p>
    <w:p w14:paraId="46513095" w14:textId="77777777" w:rsidR="006A05EA" w:rsidRDefault="006A05EA" w:rsidP="006A05EA">
      <w:pPr>
        <w:shd w:val="clear" w:color="auto" w:fill="FFFFFF"/>
        <w:spacing w:after="15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The following payers have published recent extensions: </w:t>
      </w:r>
    </w:p>
    <w:p w14:paraId="22D7A898" w14:textId="16AF4719" w:rsidR="006A05EA" w:rsidRDefault="006A05EA" w:rsidP="006A05EA">
      <w:pPr>
        <w:pStyle w:val="ListParagraph"/>
        <w:numPr>
          <w:ilvl w:val="0"/>
          <w:numId w:val="2"/>
        </w:numPr>
      </w:pPr>
      <w:r w:rsidRPr="006A05EA">
        <w:t>Blue Cross and Blue Shield of Texas (BCBSTX) says state-regulated, fully insured HMO, PPO, and Medicare members’ cost-share will be waived for COVID-19 </w:t>
      </w:r>
      <w:hyperlink r:id="rId8" w:history="1">
        <w:r w:rsidRPr="006A05EA">
          <w:rPr>
            <w:rStyle w:val="Hyperlink"/>
          </w:rPr>
          <w:t>testing</w:t>
        </w:r>
      </w:hyperlink>
      <w:r w:rsidRPr="006A05EA">
        <w:t> during the public health emergency. </w:t>
      </w:r>
      <w:hyperlink r:id="rId9" w:history="1">
        <w:r w:rsidRPr="006A05EA">
          <w:rPr>
            <w:rStyle w:val="Hyperlink"/>
          </w:rPr>
          <w:t>Two</w:t>
        </w:r>
      </w:hyperlink>
      <w:r w:rsidRPr="006A05EA">
        <w:t> new telemedicine medical services and telehealth service policies are posted, effective Jan. 1 and Feb. 12.</w:t>
      </w:r>
    </w:p>
    <w:p w14:paraId="5D4759F4" w14:textId="77777777" w:rsidR="006A05EA" w:rsidRPr="006A05EA" w:rsidRDefault="006A05EA" w:rsidP="006A05EA">
      <w:pPr>
        <w:pStyle w:val="ListParagraph"/>
      </w:pPr>
    </w:p>
    <w:p w14:paraId="272C1561" w14:textId="5EDE6501" w:rsidR="006A05EA" w:rsidRDefault="006A05EA" w:rsidP="006A05EA">
      <w:pPr>
        <w:pStyle w:val="ListParagraph"/>
        <w:numPr>
          <w:ilvl w:val="0"/>
          <w:numId w:val="2"/>
        </w:numPr>
      </w:pPr>
      <w:hyperlink r:id="rId10" w:history="1">
        <w:r w:rsidRPr="006A05EA">
          <w:rPr>
            <w:rStyle w:val="Hyperlink"/>
          </w:rPr>
          <w:t>Cigna</w:t>
        </w:r>
      </w:hyperlink>
      <w:r w:rsidRPr="006A05EA">
        <w:t> has extended customer cost-share waivers for testing and related office visits until Jan. 21. Treatment cost-share waivers are extended to Feb. 15 and other interim accommodations (e.g., credentialing) to March 31. In addition, a new </w:t>
      </w:r>
      <w:hyperlink r:id="rId11" w:history="1">
        <w:r w:rsidRPr="006A05EA">
          <w:rPr>
            <w:rStyle w:val="Hyperlink"/>
          </w:rPr>
          <w:t>virtual care</w:t>
        </w:r>
      </w:hyperlink>
      <w:r w:rsidRPr="006A05EA">
        <w:t> policy is now available.</w:t>
      </w:r>
    </w:p>
    <w:p w14:paraId="14D5B481" w14:textId="77777777" w:rsidR="006A05EA" w:rsidRPr="006A05EA" w:rsidRDefault="006A05EA" w:rsidP="006A05EA">
      <w:pPr>
        <w:pStyle w:val="ListParagraph"/>
      </w:pPr>
    </w:p>
    <w:p w14:paraId="613CE594" w14:textId="7B4274DD" w:rsidR="006A05EA" w:rsidRDefault="006A05EA" w:rsidP="006A05EA">
      <w:pPr>
        <w:pStyle w:val="ListParagraph"/>
        <w:numPr>
          <w:ilvl w:val="0"/>
          <w:numId w:val="2"/>
        </w:numPr>
      </w:pPr>
      <w:r w:rsidRPr="006A05EA">
        <w:t>UnitedHealthcare says its </w:t>
      </w:r>
      <w:hyperlink r:id="rId12" w:history="1">
        <w:r w:rsidRPr="006A05EA">
          <w:rPr>
            <w:rStyle w:val="Hyperlink"/>
          </w:rPr>
          <w:t>cost-share waiver</w:t>
        </w:r>
      </w:hyperlink>
      <w:r w:rsidRPr="006A05EA">
        <w:t> for testing and testing-related visits has been extended to Jan. 20. Cost-share for treatment is extended until Jan. 31. for Medicare Advantage members. In addition, updates to COVID-19-related visits via </w:t>
      </w:r>
      <w:hyperlink r:id="rId13" w:history="1">
        <w:r w:rsidRPr="006A05EA">
          <w:rPr>
            <w:rStyle w:val="Hyperlink"/>
          </w:rPr>
          <w:t>telemedicine</w:t>
        </w:r>
      </w:hyperlink>
      <w:r w:rsidRPr="006A05EA">
        <w:t>, including audio-only, can be found in their updated policy effective Jan. 1.</w:t>
      </w:r>
    </w:p>
    <w:p w14:paraId="3F8A4423" w14:textId="77777777" w:rsidR="006A05EA" w:rsidRPr="006A05EA" w:rsidRDefault="006A05EA" w:rsidP="006A05EA">
      <w:pPr>
        <w:pStyle w:val="ListParagraph"/>
      </w:pPr>
    </w:p>
    <w:p w14:paraId="78405992" w14:textId="57371987" w:rsidR="006A05EA" w:rsidRDefault="006A05EA" w:rsidP="006A05EA">
      <w:pPr>
        <w:pStyle w:val="ListParagraph"/>
        <w:numPr>
          <w:ilvl w:val="0"/>
          <w:numId w:val="2"/>
        </w:numPr>
      </w:pPr>
      <w:r w:rsidRPr="006A05EA">
        <w:t>Aetna has updated its telemedicine policy, available at </w:t>
      </w:r>
      <w:hyperlink r:id="rId14" w:history="1">
        <w:r w:rsidRPr="006A05EA">
          <w:rPr>
            <w:rStyle w:val="Hyperlink"/>
          </w:rPr>
          <w:t>Availity.com</w:t>
        </w:r>
      </w:hyperlink>
      <w:r w:rsidRPr="006A05EA">
        <w:t xml:space="preserve">. The health insurer extended its telemedicine coverage, including audio-only, until further notice. For commercial plans, cost-share will be waived for in-network behavioral health real-time virtual visits </w:t>
      </w:r>
      <w:r w:rsidRPr="006A05EA">
        <w:lastRenderedPageBreak/>
        <w:t>through Jan. 31. Cost-share for Medicare Advantage plan members is waived for primary care and specialist visits, including behavioral health.</w:t>
      </w:r>
    </w:p>
    <w:p w14:paraId="77DB25AF" w14:textId="77777777" w:rsidR="006A05EA" w:rsidRPr="006A05EA" w:rsidRDefault="006A05EA" w:rsidP="006A05EA">
      <w:pPr>
        <w:pStyle w:val="ListParagraph"/>
      </w:pPr>
    </w:p>
    <w:p w14:paraId="57B92B13" w14:textId="5C8949C7" w:rsidR="006A05EA" w:rsidRDefault="006A05EA" w:rsidP="006A05EA">
      <w:pPr>
        <w:pStyle w:val="ListParagraph"/>
        <w:numPr>
          <w:ilvl w:val="0"/>
          <w:numId w:val="2"/>
        </w:numPr>
      </w:pPr>
      <w:hyperlink r:id="rId15" w:history="1">
        <w:r w:rsidRPr="006A05EA">
          <w:rPr>
            <w:rStyle w:val="Hyperlink"/>
          </w:rPr>
          <w:t>Humana</w:t>
        </w:r>
      </w:hyperlink>
      <w:r w:rsidRPr="006A05EA">
        <w:t> continues to extend cost-sharing waivers for Medicare members regarding treatment for the 2021 plan year. Employer group members’ treatment cost-share waiver ended Dec. 31.</w:t>
      </w:r>
    </w:p>
    <w:p w14:paraId="4BDD5396" w14:textId="77777777" w:rsidR="006A05EA" w:rsidRDefault="006A05EA" w:rsidP="006A05EA">
      <w:pPr>
        <w:pStyle w:val="ListParagraph"/>
      </w:pPr>
    </w:p>
    <w:p w14:paraId="19E045AA" w14:textId="77777777" w:rsidR="006A05EA" w:rsidRPr="006A05EA" w:rsidRDefault="006A05EA" w:rsidP="006A05EA">
      <w:pPr>
        <w:pStyle w:val="ListParagraph"/>
      </w:pPr>
    </w:p>
    <w:p w14:paraId="75B66D9D" w14:textId="77777777" w:rsidR="006A05EA" w:rsidRDefault="006A05EA" w:rsidP="006A05EA">
      <w:pPr>
        <w:shd w:val="clear" w:color="auto" w:fill="FFFFFF"/>
        <w:spacing w:after="15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The Texas Medical Association has been tracking health plans’ various </w:t>
      </w:r>
      <w:hyperlink r:id="rId16" w:history="1">
        <w:r>
          <w:rPr>
            <w:rStyle w:val="Hyperlink"/>
            <w:rFonts w:ascii="Helvetica" w:hAnsi="Helvetica" w:cs="Helvetica"/>
            <w:color w:val="666D70"/>
            <w:sz w:val="23"/>
            <w:szCs w:val="23"/>
          </w:rPr>
          <w:t>waivers</w:t>
        </w:r>
      </w:hyperlink>
      <w:r>
        <w:rPr>
          <w:rFonts w:ascii="Helvetica" w:hAnsi="Helvetica" w:cs="Helvetica"/>
          <w:color w:val="333333"/>
          <w:sz w:val="23"/>
          <w:szCs w:val="23"/>
        </w:rPr>
        <w:t> throughout the COVID-19 pandemic, as well as state and federal </w:t>
      </w:r>
      <w:hyperlink r:id="rId17" w:history="1">
        <w:r>
          <w:rPr>
            <w:rStyle w:val="Hyperlink"/>
            <w:rFonts w:ascii="Helvetica" w:hAnsi="Helvetica" w:cs="Helvetica"/>
            <w:color w:val="666D70"/>
            <w:sz w:val="23"/>
            <w:szCs w:val="23"/>
          </w:rPr>
          <w:t>deadlines and program extensions</w:t>
        </w:r>
      </w:hyperlink>
      <w:r>
        <w:rPr>
          <w:rFonts w:ascii="Helvetica" w:hAnsi="Helvetica" w:cs="Helvetica"/>
          <w:color w:val="333333"/>
          <w:sz w:val="23"/>
          <w:szCs w:val="23"/>
        </w:rPr>
        <w:t>.</w:t>
      </w:r>
    </w:p>
    <w:p w14:paraId="72980795" w14:textId="77777777" w:rsidR="006A05EA" w:rsidRDefault="006A05EA" w:rsidP="006A05EA">
      <w:pPr>
        <w:shd w:val="clear" w:color="auto" w:fill="FFFFFF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Find more information, tools, and resources on the </w:t>
      </w:r>
      <w:hyperlink r:id="rId18" w:history="1">
        <w:r>
          <w:rPr>
            <w:rStyle w:val="Hyperlink"/>
            <w:rFonts w:ascii="Helvetica" w:hAnsi="Helvetica" w:cs="Helvetica"/>
            <w:color w:val="666D70"/>
            <w:sz w:val="23"/>
            <w:szCs w:val="23"/>
          </w:rPr>
          <w:t>COVID-19 Resource Center</w:t>
        </w:r>
      </w:hyperlink>
      <w:r>
        <w:rPr>
          <w:rFonts w:ascii="Helvetica" w:hAnsi="Helvetica" w:cs="Helvetica"/>
          <w:color w:val="333333"/>
          <w:sz w:val="23"/>
          <w:szCs w:val="23"/>
        </w:rPr>
        <w:t> and </w:t>
      </w:r>
      <w:hyperlink r:id="rId19" w:history="1">
        <w:r>
          <w:rPr>
            <w:rStyle w:val="Hyperlink"/>
            <w:rFonts w:ascii="Helvetica" w:hAnsi="Helvetica" w:cs="Helvetica"/>
            <w:color w:val="666D70"/>
            <w:sz w:val="23"/>
            <w:szCs w:val="23"/>
          </w:rPr>
          <w:t>Practice Viability</w:t>
        </w:r>
      </w:hyperlink>
      <w:r>
        <w:rPr>
          <w:rFonts w:ascii="Helvetica" w:hAnsi="Helvetica" w:cs="Helvetica"/>
          <w:color w:val="333333"/>
          <w:sz w:val="23"/>
          <w:szCs w:val="23"/>
        </w:rPr>
        <w:t> pages, which are updated frequently.</w:t>
      </w:r>
    </w:p>
    <w:p w14:paraId="1E103041" w14:textId="77777777" w:rsidR="006A05EA" w:rsidRDefault="006A05EA" w:rsidP="006A05EA">
      <w:pPr>
        <w:shd w:val="clear" w:color="auto" w:fill="FFFFFF"/>
        <w:spacing w:after="150"/>
        <w:rPr>
          <w:rFonts w:ascii="Roboto Condensed" w:hAnsi="Roboto Condensed"/>
          <w:b/>
          <w:bCs/>
          <w:color w:val="666D70"/>
          <w:sz w:val="27"/>
          <w:szCs w:val="27"/>
        </w:rPr>
      </w:pPr>
    </w:p>
    <w:p w14:paraId="4D67E088" w14:textId="5FA0274A" w:rsidR="006A05EA" w:rsidRDefault="006A05EA" w:rsidP="006A05EA">
      <w:pPr>
        <w:shd w:val="clear" w:color="auto" w:fill="FFFFFF"/>
        <w:spacing w:after="150"/>
        <w:rPr>
          <w:rFonts w:ascii="Roboto Condensed" w:hAnsi="Roboto Condensed"/>
          <w:b/>
          <w:bCs/>
          <w:color w:val="666D70"/>
          <w:sz w:val="27"/>
          <w:szCs w:val="27"/>
        </w:rPr>
      </w:pPr>
      <w:r>
        <w:rPr>
          <w:rFonts w:ascii="Roboto Condensed" w:hAnsi="Roboto Condensed"/>
          <w:b/>
          <w:bCs/>
          <w:color w:val="666D70"/>
          <w:sz w:val="27"/>
          <w:szCs w:val="27"/>
        </w:rPr>
        <w:t>Last Updated On</w:t>
      </w:r>
    </w:p>
    <w:p w14:paraId="251D8F8F" w14:textId="77777777" w:rsidR="006A05EA" w:rsidRDefault="006A05EA" w:rsidP="006A05EA">
      <w:pPr>
        <w:shd w:val="clear" w:color="auto" w:fill="FFFFFF"/>
        <w:spacing w:after="150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January 05, 2021</w:t>
      </w:r>
    </w:p>
    <w:p w14:paraId="7A1925BB" w14:textId="77777777" w:rsidR="006A05EA" w:rsidRDefault="006A05EA" w:rsidP="006A05EA">
      <w:pPr>
        <w:shd w:val="clear" w:color="auto" w:fill="FFFFFF"/>
        <w:spacing w:after="150"/>
        <w:rPr>
          <w:rFonts w:ascii="Roboto Condensed" w:hAnsi="Roboto Condensed"/>
          <w:b/>
          <w:bCs/>
          <w:color w:val="666D70"/>
          <w:sz w:val="27"/>
          <w:szCs w:val="27"/>
        </w:rPr>
      </w:pPr>
      <w:r>
        <w:rPr>
          <w:rFonts w:ascii="Roboto Condensed" w:hAnsi="Roboto Condensed"/>
          <w:b/>
          <w:bCs/>
          <w:color w:val="666D70"/>
          <w:sz w:val="27"/>
          <w:szCs w:val="27"/>
        </w:rPr>
        <w:t>Originally Published On</w:t>
      </w:r>
    </w:p>
    <w:p w14:paraId="31C96D65" w14:textId="77777777" w:rsidR="006A05EA" w:rsidRDefault="006A05EA" w:rsidP="006A05EA">
      <w:pPr>
        <w:shd w:val="clear" w:color="auto" w:fill="FFFFFF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August 27, 2020</w:t>
      </w:r>
    </w:p>
    <w:p w14:paraId="20930C3C" w14:textId="77777777" w:rsidR="00722FA3" w:rsidRDefault="00722FA3"/>
    <w:sectPr w:rsidR="00722F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Condensed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1B0839"/>
    <w:multiLevelType w:val="hybridMultilevel"/>
    <w:tmpl w:val="326A9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A22FEA"/>
    <w:multiLevelType w:val="multilevel"/>
    <w:tmpl w:val="E646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EA"/>
    <w:rsid w:val="006A05EA"/>
    <w:rsid w:val="0072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BFCB9"/>
  <w15:chartTrackingRefBased/>
  <w15:docId w15:val="{B4CE4F62-46FF-4C37-9110-E17405CDD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5E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05E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6A0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83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cbstx.com/provider/news/2020_05_18.html" TargetMode="External"/><Relationship Id="rId13" Type="http://schemas.openxmlformats.org/officeDocument/2006/relationships/hyperlink" Target="https://www.uhcprovider.com/en/resource-library/news/Novel-Coronavirus-COVID-19/covid19-telehealth-services/covid19-telehealth-services-telehealth.html" TargetMode="External"/><Relationship Id="rId18" Type="http://schemas.openxmlformats.org/officeDocument/2006/relationships/hyperlink" Target="https://www.texmed.org/Coronavirus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cid:image001.jpg@01D6E37D.A768D1D0" TargetMode="External"/><Relationship Id="rId12" Type="http://schemas.openxmlformats.org/officeDocument/2006/relationships/hyperlink" Target="https://www.uhcprovider.com/content/provider/en/viewer.html?file=%2Fcontent%2Fdam%2Fprovider%2Fdocs%2Fpublic%2Fresources%2Fnews%2F2020%2Fcovid19%2FCOVID-19-Date-Provision-Guide.pdf" TargetMode="External"/><Relationship Id="rId17" Type="http://schemas.openxmlformats.org/officeDocument/2006/relationships/hyperlink" Target="https://www.texmed.org/deadline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texmed.org/uploadedFiles/Current/2016_Public_Health/Infectious_Diseases/309072%20Waiver%20Dates%20Chart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static.cigna.com/assets/chcp/resourceLibrary/medicalResourcesList/medicalDoingBusinessWithCigna/medicalDbwCVirtualCare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ushare-web.apps.cf.humana.com/Marketing/docushare-app?file=4258592" TargetMode="External"/><Relationship Id="rId10" Type="http://schemas.openxmlformats.org/officeDocument/2006/relationships/hyperlink" Target="https://static.cigna.com/assets/chcp/resourceLibrary/medicalResourcesList/medicalDoingBusinessWithCigna/medicalDbwcCOVID-19.html" TargetMode="External"/><Relationship Id="rId19" Type="http://schemas.openxmlformats.org/officeDocument/2006/relationships/hyperlink" Target="https://www.texmed.org/PracticeViabili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cbstx.com/provider/standards/20_clinical_payment_and_coding_policy_updates.html" TargetMode="External"/><Relationship Id="rId14" Type="http://schemas.openxmlformats.org/officeDocument/2006/relationships/hyperlink" Target="https://www.availit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0CD7D-7AC5-489A-B41A-A08E8A5BE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 Advocate</dc:creator>
  <cp:keywords/>
  <dc:description/>
  <cp:lastModifiedBy>Staff Advocate</cp:lastModifiedBy>
  <cp:revision>1</cp:revision>
  <dcterms:created xsi:type="dcterms:W3CDTF">2021-01-05T22:22:00Z</dcterms:created>
  <dcterms:modified xsi:type="dcterms:W3CDTF">2021-01-05T22:52:00Z</dcterms:modified>
</cp:coreProperties>
</file>