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3146D7" w14:textId="77777777" w:rsidR="00602ED9" w:rsidRDefault="00602ED9" w:rsidP="00602ED9">
      <w:r>
        <w:t xml:space="preserve">From Healthcare IT Today     </w:t>
      </w:r>
    </w:p>
    <w:p w14:paraId="417774C8" w14:textId="77777777" w:rsidR="00602ED9" w:rsidRDefault="00602ED9" w:rsidP="00602ED9">
      <w:pPr>
        <w:rPr>
          <w:rFonts w:ascii="Lato" w:hAnsi="Lato"/>
          <w:b/>
          <w:bCs/>
          <w:color w:val="333333"/>
          <w:sz w:val="48"/>
          <w:szCs w:val="48"/>
        </w:rPr>
      </w:pPr>
      <w:r>
        <w:rPr>
          <w:rFonts w:ascii="Lato" w:hAnsi="Lato"/>
          <w:b/>
          <w:bCs/>
          <w:color w:val="333333"/>
          <w:sz w:val="48"/>
          <w:szCs w:val="48"/>
        </w:rPr>
        <w:t>New Information Blocking FAQs from ONC</w:t>
      </w:r>
    </w:p>
    <w:p w14:paraId="1EC7EBDC" w14:textId="77777777" w:rsidR="00602ED9" w:rsidRDefault="00602ED9" w:rsidP="00602ED9">
      <w:pPr>
        <w:textAlignment w:val="top"/>
        <w:rPr>
          <w:color w:val="999999"/>
        </w:rPr>
      </w:pPr>
      <w:r>
        <w:rPr>
          <w:color w:val="999999"/>
        </w:rPr>
        <w:t>March 23, 2021</w:t>
      </w:r>
    </w:p>
    <w:p w14:paraId="76B00A2B" w14:textId="77777777" w:rsidR="00602ED9" w:rsidRDefault="00602ED9" w:rsidP="00602ED9">
      <w:pPr>
        <w:textAlignment w:val="top"/>
        <w:rPr>
          <w:color w:val="999999"/>
        </w:rPr>
      </w:pPr>
      <w:hyperlink r:id="rId6" w:history="1">
        <w:r>
          <w:rPr>
            <w:rStyle w:val="Hyperlink"/>
            <w:color w:val="999999"/>
          </w:rPr>
          <w:t>John Lynn</w:t>
        </w:r>
      </w:hyperlink>
    </w:p>
    <w:p w14:paraId="5A831D1D" w14:textId="77777777" w:rsidR="00602ED9" w:rsidRDefault="00602ED9" w:rsidP="00602ED9">
      <w:pPr>
        <w:textAlignment w:val="top"/>
        <w:rPr>
          <w:color w:val="999999"/>
        </w:rPr>
      </w:pPr>
      <w:r>
        <w:rPr>
          <w:color w:val="999999"/>
        </w:rPr>
        <w:t>5 Min Read</w:t>
      </w:r>
    </w:p>
    <w:p w14:paraId="7300C75C" w14:textId="77777777" w:rsidR="00602ED9" w:rsidRDefault="00602ED9" w:rsidP="00602ED9">
      <w:pPr>
        <w:jc w:val="center"/>
      </w:pPr>
      <w:hyperlink r:id="rId7" w:history="1">
        <w:r>
          <w:rPr>
            <w:rStyle w:val="Hyperlink"/>
            <w:color w:val="444444"/>
          </w:rPr>
          <w:t>John Lynn</w:t>
        </w:r>
      </w:hyperlink>
    </w:p>
    <w:p w14:paraId="7FED0EDA"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color w:val="444444"/>
          <w:sz w:val="24"/>
          <w:szCs w:val="24"/>
        </w:rPr>
        <w:t>After we shared the </w:t>
      </w:r>
      <w:hyperlink r:id="rId8" w:history="1">
        <w:r>
          <w:rPr>
            <w:rStyle w:val="Hyperlink"/>
            <w:rFonts w:ascii="Open Sans" w:hAnsi="Open Sans"/>
            <w:color w:val="F97A11"/>
            <w:sz w:val="24"/>
            <w:szCs w:val="24"/>
          </w:rPr>
          <w:t>Information Blocking Exceptions in the 21st Century Cures Act</w:t>
        </w:r>
      </w:hyperlink>
      <w:r>
        <w:rPr>
          <w:rFonts w:ascii="Open Sans" w:hAnsi="Open Sans"/>
          <w:color w:val="444444"/>
          <w:sz w:val="24"/>
          <w:szCs w:val="24"/>
        </w:rPr>
        <w:t>, we realized that you all seem to really enjoy this type of practical information on the coming information blocking regulation.  Today, ONC came out with a number of </w:t>
      </w:r>
      <w:hyperlink r:id="rId9" w:history="1">
        <w:r>
          <w:rPr>
            <w:rStyle w:val="Hyperlink"/>
            <w:rFonts w:ascii="Open Sans" w:hAnsi="Open Sans"/>
            <w:color w:val="F97A11"/>
            <w:sz w:val="24"/>
            <w:szCs w:val="24"/>
          </w:rPr>
          <w:t>Information Blocking FAQ’s</w:t>
        </w:r>
      </w:hyperlink>
      <w:r>
        <w:rPr>
          <w:rFonts w:ascii="Open Sans" w:hAnsi="Open Sans"/>
          <w:color w:val="444444"/>
          <w:sz w:val="24"/>
          <w:szCs w:val="24"/>
        </w:rPr>
        <w:t> to help healthcare organizations understand the information blocking rules and answer some of the common questions they were getting about the regulation.</w:t>
      </w:r>
    </w:p>
    <w:p w14:paraId="445FB9E8"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color w:val="444444"/>
          <w:sz w:val="24"/>
          <w:szCs w:val="24"/>
        </w:rPr>
        <w:t xml:space="preserve">We </w:t>
      </w:r>
      <w:proofErr w:type="gramStart"/>
      <w:r>
        <w:rPr>
          <w:rFonts w:ascii="Open Sans" w:hAnsi="Open Sans"/>
          <w:color w:val="444444"/>
          <w:sz w:val="24"/>
          <w:szCs w:val="24"/>
        </w:rPr>
        <w:t>won’t</w:t>
      </w:r>
      <w:proofErr w:type="gramEnd"/>
      <w:r>
        <w:rPr>
          <w:rFonts w:ascii="Open Sans" w:hAnsi="Open Sans"/>
          <w:color w:val="444444"/>
          <w:sz w:val="24"/>
          <w:szCs w:val="24"/>
        </w:rPr>
        <w:t xml:space="preserve"> go through all of them here, but we’ll highlight a few that caught our eye and then you can go read through the rest as desired.</w:t>
      </w:r>
    </w:p>
    <w:p w14:paraId="276BC4BC"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b/>
          <w:bCs/>
          <w:color w:val="444444"/>
          <w:sz w:val="24"/>
          <w:szCs w:val="24"/>
        </w:rPr>
        <w:t>Q: On April 5, 2021, can prior agreements, arrangements, or contracts still in effect implicate the information blocking definition in 45 CFR 171? *3/19/2021*</w:t>
      </w:r>
    </w:p>
    <w:p w14:paraId="6C6736C3"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color w:val="444444"/>
          <w:sz w:val="24"/>
          <w:szCs w:val="24"/>
        </w:rPr>
        <w:t>Yes. On and after April 5, 2021, any actor’s agreements, arrangements, or contracts are subject to and may implicate the information blocking regulations in 45 CFR part 171.</w:t>
      </w:r>
    </w:p>
    <w:p w14:paraId="4EACC835"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color w:val="444444"/>
          <w:sz w:val="24"/>
          <w:szCs w:val="24"/>
        </w:rPr>
        <w:t xml:space="preserve">This question was fascinating to me since </w:t>
      </w:r>
      <w:proofErr w:type="gramStart"/>
      <w:r>
        <w:rPr>
          <w:rFonts w:ascii="Open Sans" w:hAnsi="Open Sans"/>
          <w:color w:val="444444"/>
          <w:sz w:val="24"/>
          <w:szCs w:val="24"/>
        </w:rPr>
        <w:t>I’m</w:t>
      </w:r>
      <w:proofErr w:type="gramEnd"/>
      <w:r>
        <w:rPr>
          <w:rFonts w:ascii="Open Sans" w:hAnsi="Open Sans"/>
          <w:color w:val="444444"/>
          <w:sz w:val="24"/>
          <w:szCs w:val="24"/>
        </w:rPr>
        <w:t xml:space="preserve"> not sure how many healthcare organizations realized that they might have contracts and agreements that need to be modified in order to meet these regulations.  Of course, most legal contracts have something in the contract about the contract not forcing them to violate the law, but </w:t>
      </w:r>
      <w:proofErr w:type="gramStart"/>
      <w:r>
        <w:rPr>
          <w:rFonts w:ascii="Open Sans" w:hAnsi="Open Sans"/>
          <w:color w:val="444444"/>
          <w:sz w:val="24"/>
          <w:szCs w:val="24"/>
        </w:rPr>
        <w:t>it’s</w:t>
      </w:r>
      <w:proofErr w:type="gramEnd"/>
      <w:r>
        <w:rPr>
          <w:rFonts w:ascii="Open Sans" w:hAnsi="Open Sans"/>
          <w:color w:val="444444"/>
          <w:sz w:val="24"/>
          <w:szCs w:val="24"/>
        </w:rPr>
        <w:t xml:space="preserve"> always better to make sure the agreement and contract are clear between parties by adjusting it to the changing law.  And as we all know, contracts like this and reviewing all the hundreds (or is it thousands) of contracts healthcare organizations have is time consuming.</w:t>
      </w:r>
    </w:p>
    <w:p w14:paraId="55896C59"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b/>
          <w:bCs/>
          <w:color w:val="444444"/>
          <w:sz w:val="24"/>
          <w:szCs w:val="24"/>
        </w:rPr>
        <w:t>Q: Do the information blocking regulations (45 CFR Part 171) require actors to proactively make electronic health information (EHI) available through “patient portals,” application programming interfaces (API), or other health information technology? </w:t>
      </w:r>
      <w:r>
        <w:rPr>
          <w:rFonts w:ascii="Open Sans" w:hAnsi="Open Sans"/>
          <w:b/>
          <w:bCs/>
          <w:color w:val="444444"/>
          <w:sz w:val="24"/>
          <w:szCs w:val="24"/>
          <w:u w:val="single"/>
        </w:rPr>
        <w:t>*1/15/2021*</w:t>
      </w:r>
    </w:p>
    <w:p w14:paraId="140E7D08"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color w:val="444444"/>
          <w:sz w:val="24"/>
          <w:szCs w:val="24"/>
        </w:rPr>
        <w:t>No. There is no requirement under the information blocking regulations to proactively make available any EHI to patients or others who have </w:t>
      </w:r>
      <w:r>
        <w:rPr>
          <w:rFonts w:ascii="Open Sans" w:hAnsi="Open Sans"/>
          <w:b/>
          <w:bCs/>
          <w:color w:val="444444"/>
          <w:sz w:val="24"/>
          <w:szCs w:val="24"/>
        </w:rPr>
        <w:t>not</w:t>
      </w:r>
      <w:r>
        <w:rPr>
          <w:rFonts w:ascii="Open Sans" w:hAnsi="Open Sans"/>
          <w:color w:val="444444"/>
          <w:sz w:val="24"/>
          <w:szCs w:val="24"/>
        </w:rPr>
        <w:t xml:space="preserve"> requested the EHI. We note, </w:t>
      </w:r>
      <w:r>
        <w:rPr>
          <w:rFonts w:ascii="Open Sans" w:hAnsi="Open Sans"/>
          <w:color w:val="444444"/>
          <w:sz w:val="24"/>
          <w:szCs w:val="24"/>
        </w:rPr>
        <w:lastRenderedPageBreak/>
        <w:t>however, that a delay in the release or availability of EHI in response to a request for legally permissible access, exchange, or use of EHI may be an interference under the information blocking regulations (</w:t>
      </w:r>
      <w:hyperlink r:id="rId10" w:history="1">
        <w:r>
          <w:rPr>
            <w:rStyle w:val="Hyperlink"/>
            <w:rFonts w:ascii="Open Sans" w:hAnsi="Open Sans"/>
            <w:color w:val="F97A11"/>
            <w:sz w:val="24"/>
            <w:szCs w:val="24"/>
          </w:rPr>
          <w:t>85 FR 25813</w:t>
        </w:r>
      </w:hyperlink>
      <w:r>
        <w:rPr>
          <w:rFonts w:ascii="Open Sans" w:hAnsi="Open Sans"/>
          <w:color w:val="444444"/>
          <w:sz w:val="24"/>
          <w:szCs w:val="24"/>
        </w:rPr>
        <w:t>, </w:t>
      </w:r>
      <w:hyperlink r:id="rId11" w:history="1">
        <w:r>
          <w:rPr>
            <w:rStyle w:val="Hyperlink"/>
            <w:rFonts w:ascii="Open Sans" w:hAnsi="Open Sans"/>
            <w:color w:val="F97A11"/>
            <w:sz w:val="24"/>
            <w:szCs w:val="24"/>
          </w:rPr>
          <w:t>25878</w:t>
        </w:r>
      </w:hyperlink>
      <w:r>
        <w:rPr>
          <w:rFonts w:ascii="Open Sans" w:hAnsi="Open Sans"/>
          <w:color w:val="444444"/>
          <w:sz w:val="24"/>
          <w:szCs w:val="24"/>
        </w:rPr>
        <w:t>). If the delay were to constitute an interference under the information blocking regulations, an actor’s practice or actions </w:t>
      </w:r>
      <w:r>
        <w:rPr>
          <w:rFonts w:ascii="Open Sans" w:hAnsi="Open Sans"/>
          <w:b/>
          <w:bCs/>
          <w:color w:val="444444"/>
          <w:sz w:val="24"/>
          <w:szCs w:val="24"/>
        </w:rPr>
        <w:t>may</w:t>
      </w:r>
      <w:r>
        <w:rPr>
          <w:rFonts w:ascii="Open Sans" w:hAnsi="Open Sans"/>
          <w:color w:val="444444"/>
          <w:sz w:val="24"/>
          <w:szCs w:val="24"/>
        </w:rPr>
        <w:t> still satisfy the conditions of an exception under the information blocking regulations (</w:t>
      </w:r>
      <w:hyperlink r:id="rId12" w:history="1">
        <w:r>
          <w:rPr>
            <w:rStyle w:val="Hyperlink"/>
            <w:rFonts w:ascii="Open Sans" w:hAnsi="Open Sans"/>
            <w:color w:val="F97A11"/>
            <w:sz w:val="24"/>
            <w:szCs w:val="24"/>
          </w:rPr>
          <w:t>45 CFR 171.200-303</w:t>
        </w:r>
      </w:hyperlink>
      <w:r>
        <w:rPr>
          <w:rFonts w:ascii="Open Sans" w:hAnsi="Open Sans"/>
          <w:color w:val="444444"/>
          <w:sz w:val="24"/>
          <w:szCs w:val="24"/>
        </w:rPr>
        <w:t>).</w:t>
      </w:r>
    </w:p>
    <w:p w14:paraId="0ADF6890"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color w:val="444444"/>
          <w:sz w:val="24"/>
          <w:szCs w:val="24"/>
        </w:rPr>
        <w:t>Please review the other questions under this heading for more information.</w:t>
      </w:r>
    </w:p>
    <w:p w14:paraId="37BB08D2"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color w:val="444444"/>
          <w:sz w:val="24"/>
          <w:szCs w:val="24"/>
        </w:rPr>
        <w:t xml:space="preserve">This one is interesting because it acknowledges that information blocking </w:t>
      </w:r>
      <w:proofErr w:type="gramStart"/>
      <w:r>
        <w:rPr>
          <w:rFonts w:ascii="Open Sans" w:hAnsi="Open Sans"/>
          <w:color w:val="444444"/>
          <w:sz w:val="24"/>
          <w:szCs w:val="24"/>
        </w:rPr>
        <w:t>doesn’t</w:t>
      </w:r>
      <w:proofErr w:type="gramEnd"/>
      <w:r>
        <w:rPr>
          <w:rFonts w:ascii="Open Sans" w:hAnsi="Open Sans"/>
          <w:color w:val="444444"/>
          <w:sz w:val="24"/>
          <w:szCs w:val="24"/>
        </w:rPr>
        <w:t xml:space="preserve"> mean you have to be proactive in sharing.  It largely means that when someone else is proactive in wanting the information, then you </w:t>
      </w:r>
      <w:proofErr w:type="gramStart"/>
      <w:r>
        <w:rPr>
          <w:rFonts w:ascii="Open Sans" w:hAnsi="Open Sans"/>
          <w:color w:val="444444"/>
          <w:sz w:val="24"/>
          <w:szCs w:val="24"/>
        </w:rPr>
        <w:t>have to</w:t>
      </w:r>
      <w:proofErr w:type="gramEnd"/>
      <w:r>
        <w:rPr>
          <w:rFonts w:ascii="Open Sans" w:hAnsi="Open Sans"/>
          <w:color w:val="444444"/>
          <w:sz w:val="24"/>
          <w:szCs w:val="24"/>
        </w:rPr>
        <w:t xml:space="preserve"> comply.  Although, there are some exceptions to this.  For example, the next question which talks about access to test results.</w:t>
      </w:r>
    </w:p>
    <w:p w14:paraId="1D4E3616"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b/>
          <w:bCs/>
          <w:color w:val="444444"/>
          <w:sz w:val="24"/>
          <w:szCs w:val="24"/>
        </w:rPr>
        <w:t>Q: Are actors (for example, health care providers) expected to release test results to patients through a patient portal or application programming interface (API) as soon as the results are available to the ordering clinician? </w:t>
      </w:r>
      <w:r>
        <w:rPr>
          <w:rFonts w:ascii="Open Sans" w:hAnsi="Open Sans"/>
          <w:b/>
          <w:bCs/>
          <w:color w:val="444444"/>
          <w:sz w:val="24"/>
          <w:szCs w:val="24"/>
          <w:u w:val="single"/>
        </w:rPr>
        <w:t>*1/15/2021*</w:t>
      </w:r>
    </w:p>
    <w:p w14:paraId="5C7D9CA4"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color w:val="444444"/>
          <w:sz w:val="24"/>
          <w:szCs w:val="24"/>
        </w:rPr>
        <w:t>While the information blocking regulations do not require actors to proactively make electronic health information (EHI) available, once a request to access, exchange or use EHI is made actors must timely respond to the request (for example, from a patient for their test results). Delays or other unnecessary impediments could implicate the information blocking provisions.</w:t>
      </w:r>
    </w:p>
    <w:p w14:paraId="59EF37B0"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color w:val="444444"/>
          <w:sz w:val="24"/>
          <w:szCs w:val="24"/>
        </w:rPr>
        <w:t>In practice, this could mean a patient would be able to access EHI such as test results in parallel to the availability of the test results to the ordering clinician.</w:t>
      </w:r>
    </w:p>
    <w:p w14:paraId="49383B4C"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color w:val="444444"/>
          <w:sz w:val="24"/>
          <w:szCs w:val="24"/>
        </w:rPr>
        <w:t>Please review the other questions under this heading for more information.</w:t>
      </w:r>
    </w:p>
    <w:p w14:paraId="0D479CB8"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color w:val="444444"/>
          <w:sz w:val="24"/>
          <w:szCs w:val="24"/>
        </w:rPr>
        <w:t xml:space="preserve">Again, while you </w:t>
      </w:r>
      <w:proofErr w:type="gramStart"/>
      <w:r>
        <w:rPr>
          <w:rFonts w:ascii="Open Sans" w:hAnsi="Open Sans"/>
          <w:color w:val="444444"/>
          <w:sz w:val="24"/>
          <w:szCs w:val="24"/>
        </w:rPr>
        <w:t>don’t</w:t>
      </w:r>
      <w:proofErr w:type="gramEnd"/>
      <w:r>
        <w:rPr>
          <w:rFonts w:ascii="Open Sans" w:hAnsi="Open Sans"/>
          <w:color w:val="444444"/>
          <w:sz w:val="24"/>
          <w:szCs w:val="24"/>
        </w:rPr>
        <w:t xml:space="preserve"> have to be proactive in your sharing, the regulation does require the information be available to the patient on demand in ways that weren’t required before.  Another question addresses the timeline that the HIPAA Privacy Rule allows for release of records after a request and shares that the information blocking may require a shorter timeline than the HIPAA Privacy Rule requires.  Basically, the HIPAA Privacy Rule timeline </w:t>
      </w:r>
      <w:proofErr w:type="gramStart"/>
      <w:r>
        <w:rPr>
          <w:rFonts w:ascii="Open Sans" w:hAnsi="Open Sans"/>
          <w:color w:val="444444"/>
          <w:sz w:val="24"/>
          <w:szCs w:val="24"/>
        </w:rPr>
        <w:t>isn’t</w:t>
      </w:r>
      <w:proofErr w:type="gramEnd"/>
      <w:r>
        <w:rPr>
          <w:rFonts w:ascii="Open Sans" w:hAnsi="Open Sans"/>
          <w:color w:val="444444"/>
          <w:sz w:val="24"/>
          <w:szCs w:val="24"/>
        </w:rPr>
        <w:t xml:space="preserve"> a safe harbor for showing that you shared in a reasonable timeframe.</w:t>
      </w:r>
    </w:p>
    <w:p w14:paraId="0F53E49C"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color w:val="444444"/>
          <w:sz w:val="24"/>
          <w:szCs w:val="24"/>
        </w:rPr>
        <w:t>No doubt there are a lot more details, so if you’re involved in this be sure to go and </w:t>
      </w:r>
      <w:hyperlink r:id="rId13" w:history="1">
        <w:r>
          <w:rPr>
            <w:rStyle w:val="Hyperlink"/>
            <w:rFonts w:ascii="Open Sans" w:hAnsi="Open Sans"/>
            <w:color w:val="F97A11"/>
            <w:sz w:val="24"/>
            <w:szCs w:val="24"/>
          </w:rPr>
          <w:t>read all of the FAQs</w:t>
        </w:r>
      </w:hyperlink>
      <w:r>
        <w:rPr>
          <w:rFonts w:ascii="Open Sans" w:hAnsi="Open Sans"/>
          <w:color w:val="444444"/>
          <w:sz w:val="24"/>
          <w:szCs w:val="24"/>
        </w:rPr>
        <w:t>.</w:t>
      </w:r>
    </w:p>
    <w:p w14:paraId="2075FD21"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color w:val="444444"/>
          <w:sz w:val="24"/>
          <w:szCs w:val="24"/>
        </w:rPr>
        <w:lastRenderedPageBreak/>
        <w:t xml:space="preserve">Also, I think </w:t>
      </w:r>
      <w:proofErr w:type="gramStart"/>
      <w:r>
        <w:rPr>
          <w:rFonts w:ascii="Open Sans" w:hAnsi="Open Sans"/>
          <w:color w:val="444444"/>
          <w:sz w:val="24"/>
          <w:szCs w:val="24"/>
        </w:rPr>
        <w:t>we’re</w:t>
      </w:r>
      <w:proofErr w:type="gramEnd"/>
      <w:r>
        <w:rPr>
          <w:rFonts w:ascii="Open Sans" w:hAnsi="Open Sans"/>
          <w:color w:val="444444"/>
          <w:sz w:val="24"/>
          <w:szCs w:val="24"/>
        </w:rPr>
        <w:t xml:space="preserve"> going to need to become very familiar with two key phrases: EHI (Electronic Health Information) and Preventing Harm.  Much like PHI, EHI is going to become a standard talking point when it comes to information blocking and the information that needs to be shared.  Also, given the number of FAQs on the subject, the Preventing Harm exception is likely going to be problematic and is going to take some time to really understand.  I can easily see people abusing this exception with some vague fear of “harm” being caused by sharing.  ONC seems to be working hard to make sure that this exception is available, but that healthcare organizations </w:t>
      </w:r>
      <w:proofErr w:type="gramStart"/>
      <w:r>
        <w:rPr>
          <w:rFonts w:ascii="Open Sans" w:hAnsi="Open Sans"/>
          <w:color w:val="444444"/>
          <w:sz w:val="24"/>
          <w:szCs w:val="24"/>
        </w:rPr>
        <w:t>don’t</w:t>
      </w:r>
      <w:proofErr w:type="gramEnd"/>
      <w:r>
        <w:rPr>
          <w:rFonts w:ascii="Open Sans" w:hAnsi="Open Sans"/>
          <w:color w:val="444444"/>
          <w:sz w:val="24"/>
          <w:szCs w:val="24"/>
        </w:rPr>
        <w:t xml:space="preserve"> use it to overreach.</w:t>
      </w:r>
    </w:p>
    <w:p w14:paraId="697CA743" w14:textId="77777777" w:rsidR="00602ED9" w:rsidRDefault="00602ED9" w:rsidP="00602ED9">
      <w:pPr>
        <w:shd w:val="clear" w:color="auto" w:fill="FFFFFF"/>
        <w:spacing w:before="100" w:beforeAutospacing="1" w:after="100" w:afterAutospacing="1"/>
        <w:rPr>
          <w:rFonts w:ascii="Open Sans" w:hAnsi="Open Sans"/>
          <w:color w:val="444444"/>
          <w:sz w:val="24"/>
          <w:szCs w:val="24"/>
        </w:rPr>
      </w:pPr>
      <w:r>
        <w:rPr>
          <w:rFonts w:ascii="Open Sans" w:hAnsi="Open Sans"/>
          <w:color w:val="444444"/>
          <w:sz w:val="24"/>
          <w:szCs w:val="24"/>
        </w:rPr>
        <w:t xml:space="preserve">There are </w:t>
      </w:r>
      <w:proofErr w:type="gramStart"/>
      <w:r>
        <w:rPr>
          <w:rFonts w:ascii="Open Sans" w:hAnsi="Open Sans"/>
          <w:color w:val="444444"/>
          <w:sz w:val="24"/>
          <w:szCs w:val="24"/>
        </w:rPr>
        <w:t>a number of</w:t>
      </w:r>
      <w:proofErr w:type="gramEnd"/>
      <w:r>
        <w:rPr>
          <w:rFonts w:ascii="Open Sans" w:hAnsi="Open Sans"/>
          <w:color w:val="444444"/>
          <w:sz w:val="24"/>
          <w:szCs w:val="24"/>
        </w:rPr>
        <w:t xml:space="preserve"> questions in the FAQ about whether the information blocking rule applies to your organization.  It seems that many think it only applies to those who use a certified EHR, but that would be wrong.  The information blocking rule </w:t>
      </w:r>
      <w:proofErr w:type="gramStart"/>
      <w:r>
        <w:rPr>
          <w:rFonts w:ascii="Open Sans" w:hAnsi="Open Sans"/>
          <w:color w:val="444444"/>
          <w:sz w:val="24"/>
          <w:szCs w:val="24"/>
        </w:rPr>
        <w:t>doesn’t</w:t>
      </w:r>
      <w:proofErr w:type="gramEnd"/>
      <w:r>
        <w:rPr>
          <w:rFonts w:ascii="Open Sans" w:hAnsi="Open Sans"/>
          <w:color w:val="444444"/>
          <w:sz w:val="24"/>
          <w:szCs w:val="24"/>
        </w:rPr>
        <w:t xml:space="preserve"> require an organization have a certified EHR or that they use one.  In fact, the rules could apply to HIEs, Payers, and business associates to name a few.  Check out the various FAQs for more details.</w:t>
      </w:r>
    </w:p>
    <w:p w14:paraId="7BDC0277" w14:textId="77777777" w:rsidR="00380839" w:rsidRDefault="00380839"/>
    <w:sectPr w:rsidR="003808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C88835" w14:textId="77777777" w:rsidR="00602ED9" w:rsidRDefault="00602ED9" w:rsidP="00602ED9">
      <w:r>
        <w:separator/>
      </w:r>
    </w:p>
  </w:endnote>
  <w:endnote w:type="continuationSeparator" w:id="0">
    <w:p w14:paraId="1FBDD837" w14:textId="77777777" w:rsidR="00602ED9" w:rsidRDefault="00602ED9" w:rsidP="00602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charset w:val="00"/>
    <w:family w:val="auto"/>
    <w:pitch w:val="default"/>
  </w:font>
  <w:font w:name="Open Sans">
    <w:altName w:val="Segoe U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C5D2BF" w14:textId="77777777" w:rsidR="00602ED9" w:rsidRDefault="00602ED9" w:rsidP="00602ED9">
      <w:r>
        <w:separator/>
      </w:r>
    </w:p>
  </w:footnote>
  <w:footnote w:type="continuationSeparator" w:id="0">
    <w:p w14:paraId="6825BC78" w14:textId="77777777" w:rsidR="00602ED9" w:rsidRDefault="00602ED9" w:rsidP="00602E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ED9"/>
    <w:rsid w:val="00380839"/>
    <w:rsid w:val="00602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2CA82"/>
  <w15:chartTrackingRefBased/>
  <w15:docId w15:val="{B7207CFB-981A-49FA-82A8-C1AB3719C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ED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2ED9"/>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602ED9"/>
  </w:style>
  <w:style w:type="paragraph" w:styleId="Footer">
    <w:name w:val="footer"/>
    <w:basedOn w:val="Normal"/>
    <w:link w:val="FooterChar"/>
    <w:uiPriority w:val="99"/>
    <w:unhideWhenUsed/>
    <w:rsid w:val="00602ED9"/>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602ED9"/>
  </w:style>
  <w:style w:type="character" w:styleId="Hyperlink">
    <w:name w:val="Hyperlink"/>
    <w:basedOn w:val="DefaultParagraphFont"/>
    <w:uiPriority w:val="99"/>
    <w:semiHidden/>
    <w:unhideWhenUsed/>
    <w:rsid w:val="00602ED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2469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careittoday.com/2021/03/11/information-blocking-exceptions-in-21st-century-cures-act/" TargetMode="External"/><Relationship Id="rId13" Type="http://schemas.openxmlformats.org/officeDocument/2006/relationships/hyperlink" Target="https://www.healthit.gov/curesrule/resources/information-blocking-faqs" TargetMode="External"/><Relationship Id="rId3" Type="http://schemas.openxmlformats.org/officeDocument/2006/relationships/webSettings" Target="webSettings.xml"/><Relationship Id="rId7" Type="http://schemas.openxmlformats.org/officeDocument/2006/relationships/hyperlink" Target="https://www.healthcareittoday.com/author/lynnj/" TargetMode="External"/><Relationship Id="rId12" Type="http://schemas.openxmlformats.org/officeDocument/2006/relationships/hyperlink" Target="https://ecfr.gov/cgi-bin/text-idx?SID=aed559e6d60bd2385e5d098b012f6dce&amp;mc=true&amp;node=se45.2.171_1200&amp;rgn=div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careittoday.com/author/lynnj/" TargetMode="External"/><Relationship Id="rId11" Type="http://schemas.openxmlformats.org/officeDocument/2006/relationships/hyperlink" Target="https://www.federalregister.gov/d/2020-07419/p-2591"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federalregister.gov/d/2020-07419/p-1915" TargetMode="External"/><Relationship Id="rId4" Type="http://schemas.openxmlformats.org/officeDocument/2006/relationships/footnotes" Target="footnotes.xml"/><Relationship Id="rId9" Type="http://schemas.openxmlformats.org/officeDocument/2006/relationships/hyperlink" Target="https://www.healthit.gov/curesrule/resources/information-blocking-faq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936</Words>
  <Characters>5338</Characters>
  <Application>Microsoft Office Word</Application>
  <DocSecurity>0</DocSecurity>
  <Lines>44</Lines>
  <Paragraphs>12</Paragraphs>
  <ScaleCrop>false</ScaleCrop>
  <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staffadvocate</dc:creator>
  <cp:keywords/>
  <dc:description/>
  <cp:lastModifiedBy>staffadvocate</cp:lastModifiedBy>
  <cp:revision>1</cp:revision>
  <dcterms:created xsi:type="dcterms:W3CDTF">2021-03-26T16:16:00Z</dcterms:created>
  <dcterms:modified xsi:type="dcterms:W3CDTF">2021-03-26T16:19:00Z</dcterms:modified>
</cp:coreProperties>
</file>